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F5" w:rsidRDefault="00A410C2" w:rsidP="00F86F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PPH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E43201">
        <w:rPr>
          <w:rFonts w:ascii="Arial" w:hAnsi="Arial" w:cs="Arial"/>
          <w:b/>
          <w:sz w:val="20"/>
          <w:szCs w:val="20"/>
        </w:rPr>
        <w:t>A</w:t>
      </w:r>
      <w:r w:rsidR="00E43201" w:rsidRPr="00E43201">
        <w:rPr>
          <w:rFonts w:ascii="Arial" w:hAnsi="Arial" w:cs="Arial"/>
          <w:b/>
          <w:sz w:val="20"/>
          <w:szCs w:val="20"/>
        </w:rPr>
        <w:t>nnual General Mandate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A410C2">
        <w:rPr>
          <w:rFonts w:ascii="Arial" w:hAnsi="Arial" w:cs="Arial"/>
          <w:sz w:val="20"/>
          <w:szCs w:val="20"/>
        </w:rPr>
        <w:t>26</w:t>
      </w:r>
      <w:r w:rsidR="00F301A8">
        <w:rPr>
          <w:rFonts w:ascii="Arial" w:hAnsi="Arial" w:cs="Arial"/>
          <w:sz w:val="20"/>
          <w:szCs w:val="20"/>
        </w:rPr>
        <w:t xml:space="preserve"> </w:t>
      </w:r>
      <w:r w:rsidR="00985126">
        <w:rPr>
          <w:rFonts w:ascii="Arial" w:hAnsi="Arial" w:cs="Arial"/>
          <w:sz w:val="20"/>
          <w:szCs w:val="20"/>
        </w:rPr>
        <w:t>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A410C2" w:rsidRPr="00A410C2">
        <w:rPr>
          <w:rFonts w:ascii="Arial" w:hAnsi="Arial" w:cs="Arial"/>
          <w:sz w:val="20"/>
          <w:szCs w:val="20"/>
        </w:rPr>
        <w:t>Phong</w:t>
      </w:r>
      <w:proofErr w:type="spellEnd"/>
      <w:r w:rsidR="00A410C2" w:rsidRPr="00A410C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410C2" w:rsidRPr="00A410C2">
        <w:rPr>
          <w:rFonts w:ascii="Arial" w:hAnsi="Arial" w:cs="Arial"/>
          <w:sz w:val="20"/>
          <w:szCs w:val="20"/>
        </w:rPr>
        <w:t>Phu</w:t>
      </w:r>
      <w:proofErr w:type="spellEnd"/>
      <w:r w:rsidR="00A410C2" w:rsidRPr="00A410C2">
        <w:rPr>
          <w:rFonts w:ascii="Arial" w:hAnsi="Arial" w:cs="Arial"/>
          <w:sz w:val="20"/>
          <w:szCs w:val="20"/>
        </w:rPr>
        <w:t xml:space="preserve"> Corporation</w:t>
      </w:r>
      <w:r w:rsidR="00A410C2">
        <w:rPr>
          <w:rFonts w:ascii="Arial" w:hAnsi="Arial" w:cs="Arial"/>
          <w:sz w:val="20"/>
          <w:szCs w:val="20"/>
        </w:rPr>
        <w:t xml:space="preserve"> </w:t>
      </w:r>
      <w:r w:rsidR="006468F5">
        <w:rPr>
          <w:rFonts w:ascii="Arial" w:hAnsi="Arial" w:cs="Arial"/>
          <w:sz w:val="20"/>
          <w:szCs w:val="20"/>
        </w:rPr>
        <w:t>announced</w:t>
      </w:r>
      <w:r w:rsidR="00491B54">
        <w:rPr>
          <w:rFonts w:ascii="Arial" w:hAnsi="Arial" w:cs="Arial"/>
          <w:sz w:val="20"/>
          <w:szCs w:val="20"/>
        </w:rPr>
        <w:t xml:space="preserve"> the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3F38AB">
        <w:rPr>
          <w:rFonts w:ascii="Arial" w:hAnsi="Arial" w:cs="Arial"/>
          <w:sz w:val="20"/>
          <w:szCs w:val="20"/>
        </w:rPr>
        <w:t>annual General Mandate 2020</w:t>
      </w:r>
      <w:r w:rsidR="00F301A8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A410C2" w:rsidRDefault="00A410C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 Approve the operation report of the Board of Directors in 2019</w:t>
      </w:r>
    </w:p>
    <w:p w:rsidR="00A410C2" w:rsidRDefault="00A410C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annual General Meeting of Shareholders approved the operation report of the Board of Directors in 2019</w:t>
      </w:r>
    </w:p>
    <w:p w:rsidR="00A410C2" w:rsidRDefault="00A410C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 Approve the operation results of 2019</w:t>
      </w:r>
    </w:p>
    <w:p w:rsidR="00A410C2" w:rsidRDefault="00A410C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annual General Meeting of Shareholders approved the operation results of 2019 as follows:</w:t>
      </w:r>
    </w:p>
    <w:p w:rsidR="00A410C2" w:rsidRDefault="00A410C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Consolidated operation results of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544"/>
        <w:gridCol w:w="1596"/>
        <w:gridCol w:w="1596"/>
        <w:gridCol w:w="1596"/>
        <w:gridCol w:w="1596"/>
      </w:tblGrid>
      <w:tr w:rsidR="009072C1" w:rsidTr="009072C1">
        <w:tc>
          <w:tcPr>
            <w:tcW w:w="648" w:type="dxa"/>
          </w:tcPr>
          <w:p w:rsidR="009072C1" w:rsidRDefault="009072C1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544" w:type="dxa"/>
          </w:tcPr>
          <w:p w:rsidR="009072C1" w:rsidRDefault="009072C1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</w:t>
            </w:r>
          </w:p>
        </w:tc>
        <w:tc>
          <w:tcPr>
            <w:tcW w:w="1596" w:type="dxa"/>
          </w:tcPr>
          <w:p w:rsidR="009072C1" w:rsidRDefault="009072C1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</w:t>
            </w:r>
          </w:p>
        </w:tc>
        <w:tc>
          <w:tcPr>
            <w:tcW w:w="1596" w:type="dxa"/>
          </w:tcPr>
          <w:p w:rsidR="009072C1" w:rsidRDefault="009072C1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2019</w:t>
            </w:r>
          </w:p>
        </w:tc>
        <w:tc>
          <w:tcPr>
            <w:tcW w:w="1596" w:type="dxa"/>
          </w:tcPr>
          <w:p w:rsidR="009072C1" w:rsidRDefault="009072C1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Realization 2019</w:t>
            </w:r>
          </w:p>
        </w:tc>
        <w:tc>
          <w:tcPr>
            <w:tcW w:w="1596" w:type="dxa"/>
          </w:tcPr>
          <w:p w:rsidR="009072C1" w:rsidRDefault="009072C1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compared to plan 2019</w:t>
            </w:r>
          </w:p>
        </w:tc>
      </w:tr>
      <w:tr w:rsidR="009072C1" w:rsidTr="009072C1">
        <w:tc>
          <w:tcPr>
            <w:tcW w:w="648" w:type="dxa"/>
          </w:tcPr>
          <w:p w:rsidR="009072C1" w:rsidRDefault="009072C1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44" w:type="dxa"/>
          </w:tcPr>
          <w:p w:rsidR="009072C1" w:rsidRDefault="009072C1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revenue</w:t>
            </w:r>
          </w:p>
        </w:tc>
        <w:tc>
          <w:tcPr>
            <w:tcW w:w="1596" w:type="dxa"/>
          </w:tcPr>
          <w:p w:rsidR="009072C1" w:rsidRDefault="009072C1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 billion</w:t>
            </w:r>
          </w:p>
        </w:tc>
        <w:tc>
          <w:tcPr>
            <w:tcW w:w="1596" w:type="dxa"/>
          </w:tcPr>
          <w:p w:rsidR="009072C1" w:rsidRDefault="009072C1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4,470.0</w:t>
            </w:r>
          </w:p>
        </w:tc>
        <w:tc>
          <w:tcPr>
            <w:tcW w:w="1596" w:type="dxa"/>
          </w:tcPr>
          <w:p w:rsidR="009072C1" w:rsidRDefault="009072C1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3,782.7</w:t>
            </w:r>
          </w:p>
        </w:tc>
        <w:tc>
          <w:tcPr>
            <w:tcW w:w="1596" w:type="dxa"/>
          </w:tcPr>
          <w:p w:rsidR="009072C1" w:rsidRDefault="009072C1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84.62%</w:t>
            </w:r>
          </w:p>
        </w:tc>
      </w:tr>
      <w:tr w:rsidR="009072C1" w:rsidTr="009072C1">
        <w:tc>
          <w:tcPr>
            <w:tcW w:w="648" w:type="dxa"/>
          </w:tcPr>
          <w:p w:rsidR="009072C1" w:rsidRDefault="009072C1" w:rsidP="009072C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44" w:type="dxa"/>
          </w:tcPr>
          <w:p w:rsidR="009072C1" w:rsidRDefault="009072C1" w:rsidP="009072C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Profit before tax </w:t>
            </w:r>
          </w:p>
        </w:tc>
        <w:tc>
          <w:tcPr>
            <w:tcW w:w="1596" w:type="dxa"/>
          </w:tcPr>
          <w:p w:rsidR="009072C1" w:rsidRDefault="009072C1" w:rsidP="009072C1">
            <w:r w:rsidRPr="00750075">
              <w:rPr>
                <w:rFonts w:ascii="Arial" w:hAnsi="Arial" w:cs="Arial"/>
                <w:sz w:val="20"/>
                <w:szCs w:val="20"/>
              </w:rPr>
              <w:t>VND billion</w:t>
            </w:r>
          </w:p>
        </w:tc>
        <w:tc>
          <w:tcPr>
            <w:tcW w:w="1596" w:type="dxa"/>
          </w:tcPr>
          <w:p w:rsidR="009072C1" w:rsidRDefault="009072C1" w:rsidP="009072C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270.0</w:t>
            </w:r>
          </w:p>
        </w:tc>
        <w:tc>
          <w:tcPr>
            <w:tcW w:w="1596" w:type="dxa"/>
          </w:tcPr>
          <w:p w:rsidR="009072C1" w:rsidRDefault="009072C1" w:rsidP="009072C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208.6</w:t>
            </w:r>
          </w:p>
        </w:tc>
        <w:tc>
          <w:tcPr>
            <w:tcW w:w="1596" w:type="dxa"/>
          </w:tcPr>
          <w:p w:rsidR="009072C1" w:rsidRDefault="009072C1" w:rsidP="009072C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77.25%</w:t>
            </w:r>
          </w:p>
        </w:tc>
      </w:tr>
      <w:tr w:rsidR="009072C1" w:rsidTr="009072C1">
        <w:tc>
          <w:tcPr>
            <w:tcW w:w="648" w:type="dxa"/>
          </w:tcPr>
          <w:p w:rsidR="009072C1" w:rsidRDefault="009072C1" w:rsidP="009072C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44" w:type="dxa"/>
          </w:tcPr>
          <w:p w:rsidR="009072C1" w:rsidRDefault="009072C1" w:rsidP="009072C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Profit after tax </w:t>
            </w:r>
          </w:p>
        </w:tc>
        <w:tc>
          <w:tcPr>
            <w:tcW w:w="1596" w:type="dxa"/>
          </w:tcPr>
          <w:p w:rsidR="009072C1" w:rsidRDefault="009072C1" w:rsidP="009072C1">
            <w:r w:rsidRPr="00750075">
              <w:rPr>
                <w:rFonts w:ascii="Arial" w:hAnsi="Arial" w:cs="Arial"/>
                <w:sz w:val="20"/>
                <w:szCs w:val="20"/>
              </w:rPr>
              <w:t>VND billion</w:t>
            </w:r>
          </w:p>
        </w:tc>
        <w:tc>
          <w:tcPr>
            <w:tcW w:w="1596" w:type="dxa"/>
          </w:tcPr>
          <w:p w:rsidR="009072C1" w:rsidRDefault="009072C1" w:rsidP="009072C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262.0</w:t>
            </w:r>
          </w:p>
        </w:tc>
        <w:tc>
          <w:tcPr>
            <w:tcW w:w="1596" w:type="dxa"/>
          </w:tcPr>
          <w:p w:rsidR="009072C1" w:rsidRDefault="009072C1" w:rsidP="009072C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203.7</w:t>
            </w:r>
          </w:p>
        </w:tc>
        <w:tc>
          <w:tcPr>
            <w:tcW w:w="1596" w:type="dxa"/>
          </w:tcPr>
          <w:p w:rsidR="009072C1" w:rsidRDefault="009072C1" w:rsidP="009072C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77.75%</w:t>
            </w:r>
          </w:p>
        </w:tc>
      </w:tr>
    </w:tbl>
    <w:p w:rsidR="00A410C2" w:rsidRDefault="00A410C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072C1" w:rsidRDefault="009072C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Operation results of 2019 of the holding company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544"/>
        <w:gridCol w:w="1596"/>
        <w:gridCol w:w="1596"/>
        <w:gridCol w:w="1596"/>
        <w:gridCol w:w="1596"/>
      </w:tblGrid>
      <w:tr w:rsidR="009072C1" w:rsidTr="00325DCD">
        <w:tc>
          <w:tcPr>
            <w:tcW w:w="648" w:type="dxa"/>
          </w:tcPr>
          <w:p w:rsidR="009072C1" w:rsidRDefault="009072C1" w:rsidP="00325DC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544" w:type="dxa"/>
          </w:tcPr>
          <w:p w:rsidR="009072C1" w:rsidRDefault="009072C1" w:rsidP="00325DC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</w:t>
            </w:r>
          </w:p>
        </w:tc>
        <w:tc>
          <w:tcPr>
            <w:tcW w:w="1596" w:type="dxa"/>
          </w:tcPr>
          <w:p w:rsidR="009072C1" w:rsidRDefault="009072C1" w:rsidP="00325DC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</w:t>
            </w:r>
          </w:p>
        </w:tc>
        <w:tc>
          <w:tcPr>
            <w:tcW w:w="1596" w:type="dxa"/>
          </w:tcPr>
          <w:p w:rsidR="009072C1" w:rsidRDefault="009072C1" w:rsidP="00325DC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2019</w:t>
            </w:r>
          </w:p>
        </w:tc>
        <w:tc>
          <w:tcPr>
            <w:tcW w:w="1596" w:type="dxa"/>
          </w:tcPr>
          <w:p w:rsidR="009072C1" w:rsidRDefault="009072C1" w:rsidP="00325DC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Realization 2019</w:t>
            </w:r>
          </w:p>
        </w:tc>
        <w:tc>
          <w:tcPr>
            <w:tcW w:w="1596" w:type="dxa"/>
          </w:tcPr>
          <w:p w:rsidR="009072C1" w:rsidRDefault="009072C1" w:rsidP="00325DC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compared to plan 2019</w:t>
            </w:r>
          </w:p>
        </w:tc>
      </w:tr>
      <w:tr w:rsidR="009072C1" w:rsidTr="00325DCD">
        <w:tc>
          <w:tcPr>
            <w:tcW w:w="648" w:type="dxa"/>
          </w:tcPr>
          <w:p w:rsidR="009072C1" w:rsidRDefault="009072C1" w:rsidP="00325DC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44" w:type="dxa"/>
          </w:tcPr>
          <w:p w:rsidR="009072C1" w:rsidRDefault="009072C1" w:rsidP="00325DC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revenue</w:t>
            </w:r>
          </w:p>
        </w:tc>
        <w:tc>
          <w:tcPr>
            <w:tcW w:w="1596" w:type="dxa"/>
          </w:tcPr>
          <w:p w:rsidR="009072C1" w:rsidRDefault="009072C1" w:rsidP="00325DC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 billion</w:t>
            </w:r>
          </w:p>
        </w:tc>
        <w:tc>
          <w:tcPr>
            <w:tcW w:w="1596" w:type="dxa"/>
          </w:tcPr>
          <w:p w:rsidR="009072C1" w:rsidRDefault="00863800" w:rsidP="00325DC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4,100.0</w:t>
            </w:r>
          </w:p>
        </w:tc>
        <w:tc>
          <w:tcPr>
            <w:tcW w:w="1596" w:type="dxa"/>
          </w:tcPr>
          <w:p w:rsidR="009072C1" w:rsidRDefault="00863800" w:rsidP="00325DC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3,289.3</w:t>
            </w:r>
          </w:p>
        </w:tc>
        <w:tc>
          <w:tcPr>
            <w:tcW w:w="1596" w:type="dxa"/>
          </w:tcPr>
          <w:p w:rsidR="009072C1" w:rsidRDefault="00863800" w:rsidP="00325DC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80.2%</w:t>
            </w:r>
          </w:p>
        </w:tc>
      </w:tr>
      <w:tr w:rsidR="009072C1" w:rsidTr="00325DCD">
        <w:tc>
          <w:tcPr>
            <w:tcW w:w="648" w:type="dxa"/>
          </w:tcPr>
          <w:p w:rsidR="009072C1" w:rsidRDefault="009072C1" w:rsidP="00325DC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44" w:type="dxa"/>
          </w:tcPr>
          <w:p w:rsidR="009072C1" w:rsidRDefault="009072C1" w:rsidP="00325DC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Profit before tax </w:t>
            </w:r>
          </w:p>
        </w:tc>
        <w:tc>
          <w:tcPr>
            <w:tcW w:w="1596" w:type="dxa"/>
          </w:tcPr>
          <w:p w:rsidR="009072C1" w:rsidRDefault="009072C1" w:rsidP="00325DCD">
            <w:r w:rsidRPr="00750075">
              <w:rPr>
                <w:rFonts w:ascii="Arial" w:hAnsi="Arial" w:cs="Arial"/>
                <w:sz w:val="20"/>
                <w:szCs w:val="20"/>
              </w:rPr>
              <w:t>VND billion</w:t>
            </w:r>
          </w:p>
        </w:tc>
        <w:tc>
          <w:tcPr>
            <w:tcW w:w="1596" w:type="dxa"/>
          </w:tcPr>
          <w:p w:rsidR="009072C1" w:rsidRDefault="00863800" w:rsidP="00325DC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250.0</w:t>
            </w:r>
          </w:p>
        </w:tc>
        <w:tc>
          <w:tcPr>
            <w:tcW w:w="1596" w:type="dxa"/>
          </w:tcPr>
          <w:p w:rsidR="009072C1" w:rsidRDefault="00863800" w:rsidP="00325DC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251.0</w:t>
            </w:r>
          </w:p>
        </w:tc>
        <w:tc>
          <w:tcPr>
            <w:tcW w:w="1596" w:type="dxa"/>
          </w:tcPr>
          <w:p w:rsidR="009072C1" w:rsidRDefault="00863800" w:rsidP="00325DC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100.4%</w:t>
            </w:r>
          </w:p>
        </w:tc>
      </w:tr>
      <w:tr w:rsidR="009072C1" w:rsidTr="00325DCD">
        <w:tc>
          <w:tcPr>
            <w:tcW w:w="648" w:type="dxa"/>
          </w:tcPr>
          <w:p w:rsidR="009072C1" w:rsidRDefault="009072C1" w:rsidP="00325DC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44" w:type="dxa"/>
          </w:tcPr>
          <w:p w:rsidR="009072C1" w:rsidRDefault="009072C1" w:rsidP="00325DC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Profit after tax </w:t>
            </w:r>
          </w:p>
        </w:tc>
        <w:tc>
          <w:tcPr>
            <w:tcW w:w="1596" w:type="dxa"/>
          </w:tcPr>
          <w:p w:rsidR="009072C1" w:rsidRDefault="009072C1" w:rsidP="00325DCD">
            <w:r w:rsidRPr="00750075">
              <w:rPr>
                <w:rFonts w:ascii="Arial" w:hAnsi="Arial" w:cs="Arial"/>
                <w:sz w:val="20"/>
                <w:szCs w:val="20"/>
              </w:rPr>
              <w:t>VND billion</w:t>
            </w:r>
          </w:p>
        </w:tc>
        <w:tc>
          <w:tcPr>
            <w:tcW w:w="1596" w:type="dxa"/>
          </w:tcPr>
          <w:p w:rsidR="009072C1" w:rsidRDefault="00863800" w:rsidP="00325DC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250.0</w:t>
            </w:r>
          </w:p>
        </w:tc>
        <w:tc>
          <w:tcPr>
            <w:tcW w:w="1596" w:type="dxa"/>
          </w:tcPr>
          <w:p w:rsidR="009072C1" w:rsidRDefault="00863800" w:rsidP="00325DC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250.5</w:t>
            </w:r>
          </w:p>
        </w:tc>
        <w:tc>
          <w:tcPr>
            <w:tcW w:w="1596" w:type="dxa"/>
          </w:tcPr>
          <w:p w:rsidR="009072C1" w:rsidRDefault="00863800" w:rsidP="00325DC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100.2%</w:t>
            </w:r>
          </w:p>
        </w:tc>
      </w:tr>
      <w:tr w:rsidR="00863800" w:rsidTr="00325DCD">
        <w:tc>
          <w:tcPr>
            <w:tcW w:w="648" w:type="dxa"/>
          </w:tcPr>
          <w:p w:rsidR="00863800" w:rsidRDefault="00863800" w:rsidP="00325DC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44" w:type="dxa"/>
          </w:tcPr>
          <w:p w:rsidR="00863800" w:rsidRDefault="00863800" w:rsidP="00325DC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Dividend payment </w:t>
            </w:r>
          </w:p>
        </w:tc>
        <w:tc>
          <w:tcPr>
            <w:tcW w:w="1596" w:type="dxa"/>
          </w:tcPr>
          <w:p w:rsidR="00863800" w:rsidRPr="00750075" w:rsidRDefault="00863800" w:rsidP="00325D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596" w:type="dxa"/>
          </w:tcPr>
          <w:p w:rsidR="00863800" w:rsidRDefault="00863800" w:rsidP="00325DC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  <w:tc>
          <w:tcPr>
            <w:tcW w:w="1596" w:type="dxa"/>
          </w:tcPr>
          <w:p w:rsidR="00863800" w:rsidRDefault="00863800" w:rsidP="00325DC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22%</w:t>
            </w:r>
          </w:p>
        </w:tc>
        <w:tc>
          <w:tcPr>
            <w:tcW w:w="1596" w:type="dxa"/>
          </w:tcPr>
          <w:p w:rsidR="00863800" w:rsidRDefault="00863800" w:rsidP="00325DC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110.0%</w:t>
            </w:r>
          </w:p>
        </w:tc>
      </w:tr>
    </w:tbl>
    <w:p w:rsidR="009072C1" w:rsidRDefault="009072C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63800" w:rsidRDefault="0086380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Approve the operation plan for 2020</w:t>
      </w:r>
    </w:p>
    <w:p w:rsidR="00863800" w:rsidRDefault="0086380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annual General Meeting of Shareholders approved the operation plan for 2020 as follows:</w:t>
      </w:r>
    </w:p>
    <w:p w:rsidR="00863800" w:rsidRDefault="0086380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Operation plan for 2020 (consolidated)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4050"/>
        <w:gridCol w:w="2394"/>
        <w:gridCol w:w="2394"/>
      </w:tblGrid>
      <w:tr w:rsidR="003F1AAE" w:rsidTr="003F1AAE">
        <w:tc>
          <w:tcPr>
            <w:tcW w:w="738" w:type="dxa"/>
          </w:tcPr>
          <w:p w:rsidR="003F1AAE" w:rsidRDefault="003F1AAE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050" w:type="dxa"/>
          </w:tcPr>
          <w:p w:rsidR="003F1AAE" w:rsidRDefault="003F1AAE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</w:t>
            </w:r>
          </w:p>
        </w:tc>
        <w:tc>
          <w:tcPr>
            <w:tcW w:w="2394" w:type="dxa"/>
          </w:tcPr>
          <w:p w:rsidR="003F1AAE" w:rsidRDefault="003F1AAE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</w:t>
            </w:r>
          </w:p>
        </w:tc>
        <w:tc>
          <w:tcPr>
            <w:tcW w:w="2394" w:type="dxa"/>
          </w:tcPr>
          <w:p w:rsidR="003F1AAE" w:rsidRDefault="003F1AAE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2020</w:t>
            </w:r>
          </w:p>
        </w:tc>
      </w:tr>
      <w:tr w:rsidR="003F1AAE" w:rsidTr="003F1AAE">
        <w:tc>
          <w:tcPr>
            <w:tcW w:w="738" w:type="dxa"/>
          </w:tcPr>
          <w:p w:rsidR="003F1AAE" w:rsidRDefault="003F1AAE" w:rsidP="003F1AA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0" w:type="dxa"/>
          </w:tcPr>
          <w:p w:rsidR="003F1AAE" w:rsidRDefault="003F1AAE" w:rsidP="003F1AA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revenue</w:t>
            </w:r>
          </w:p>
        </w:tc>
        <w:tc>
          <w:tcPr>
            <w:tcW w:w="2394" w:type="dxa"/>
          </w:tcPr>
          <w:p w:rsidR="003F1AAE" w:rsidRDefault="003F1AAE" w:rsidP="003F1AA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 billion</w:t>
            </w:r>
          </w:p>
        </w:tc>
        <w:tc>
          <w:tcPr>
            <w:tcW w:w="2394" w:type="dxa"/>
          </w:tcPr>
          <w:p w:rsidR="003F1AAE" w:rsidRDefault="003F1AAE" w:rsidP="003F1AA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2,500</w:t>
            </w:r>
          </w:p>
        </w:tc>
      </w:tr>
      <w:tr w:rsidR="003F1AAE" w:rsidTr="003F1AAE">
        <w:tc>
          <w:tcPr>
            <w:tcW w:w="738" w:type="dxa"/>
          </w:tcPr>
          <w:p w:rsidR="003F1AAE" w:rsidRDefault="003F1AAE" w:rsidP="003F1AA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50" w:type="dxa"/>
          </w:tcPr>
          <w:p w:rsidR="003F1AAE" w:rsidRDefault="003F1AAE" w:rsidP="003F1AA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Profit before tax </w:t>
            </w:r>
          </w:p>
        </w:tc>
        <w:tc>
          <w:tcPr>
            <w:tcW w:w="2394" w:type="dxa"/>
          </w:tcPr>
          <w:p w:rsidR="003F1AAE" w:rsidRDefault="003F1AAE" w:rsidP="003F1AAE">
            <w:r w:rsidRPr="00750075">
              <w:rPr>
                <w:rFonts w:ascii="Arial" w:hAnsi="Arial" w:cs="Arial"/>
                <w:sz w:val="20"/>
                <w:szCs w:val="20"/>
              </w:rPr>
              <w:t>VND billion</w:t>
            </w:r>
          </w:p>
        </w:tc>
        <w:tc>
          <w:tcPr>
            <w:tcW w:w="2394" w:type="dxa"/>
          </w:tcPr>
          <w:p w:rsidR="003F1AAE" w:rsidRDefault="003F1AAE" w:rsidP="003F1AA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</w:tr>
      <w:tr w:rsidR="003F1AAE" w:rsidTr="003F1AAE">
        <w:tc>
          <w:tcPr>
            <w:tcW w:w="738" w:type="dxa"/>
          </w:tcPr>
          <w:p w:rsidR="003F1AAE" w:rsidRDefault="003F1AAE" w:rsidP="003F1AA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50" w:type="dxa"/>
          </w:tcPr>
          <w:p w:rsidR="003F1AAE" w:rsidRDefault="003F1AAE" w:rsidP="003F1AA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Profit after tax </w:t>
            </w:r>
          </w:p>
        </w:tc>
        <w:tc>
          <w:tcPr>
            <w:tcW w:w="2394" w:type="dxa"/>
          </w:tcPr>
          <w:p w:rsidR="003F1AAE" w:rsidRDefault="003F1AAE" w:rsidP="003F1AAE">
            <w:r w:rsidRPr="00750075">
              <w:rPr>
                <w:rFonts w:ascii="Arial" w:hAnsi="Arial" w:cs="Arial"/>
                <w:sz w:val="20"/>
                <w:szCs w:val="20"/>
              </w:rPr>
              <w:t>VND billion</w:t>
            </w:r>
          </w:p>
        </w:tc>
        <w:tc>
          <w:tcPr>
            <w:tcW w:w="2394" w:type="dxa"/>
          </w:tcPr>
          <w:p w:rsidR="003F1AAE" w:rsidRDefault="003F1AAE" w:rsidP="003F1AA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</w:t>
            </w:r>
          </w:p>
        </w:tc>
      </w:tr>
    </w:tbl>
    <w:p w:rsidR="00863800" w:rsidRDefault="009E33A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 Operation plan for 2020 (holding company)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4050"/>
        <w:gridCol w:w="2394"/>
        <w:gridCol w:w="2394"/>
      </w:tblGrid>
      <w:tr w:rsidR="009E33A4" w:rsidTr="009E33A4">
        <w:tc>
          <w:tcPr>
            <w:tcW w:w="738" w:type="dxa"/>
          </w:tcPr>
          <w:p w:rsidR="009E33A4" w:rsidRDefault="009E33A4" w:rsidP="009E33A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050" w:type="dxa"/>
          </w:tcPr>
          <w:p w:rsidR="009E33A4" w:rsidRDefault="009E33A4" w:rsidP="009E33A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</w:t>
            </w:r>
          </w:p>
        </w:tc>
        <w:tc>
          <w:tcPr>
            <w:tcW w:w="2394" w:type="dxa"/>
          </w:tcPr>
          <w:p w:rsidR="009E33A4" w:rsidRDefault="009E33A4" w:rsidP="009E33A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</w:t>
            </w:r>
          </w:p>
        </w:tc>
        <w:tc>
          <w:tcPr>
            <w:tcW w:w="2394" w:type="dxa"/>
          </w:tcPr>
          <w:p w:rsidR="009E33A4" w:rsidRDefault="009E33A4" w:rsidP="009E33A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2020</w:t>
            </w:r>
          </w:p>
        </w:tc>
      </w:tr>
      <w:tr w:rsidR="009E33A4" w:rsidTr="009E33A4">
        <w:tc>
          <w:tcPr>
            <w:tcW w:w="738" w:type="dxa"/>
          </w:tcPr>
          <w:p w:rsidR="009E33A4" w:rsidRDefault="009E33A4" w:rsidP="009E33A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0" w:type="dxa"/>
          </w:tcPr>
          <w:p w:rsidR="009E33A4" w:rsidRDefault="009E33A4" w:rsidP="009E33A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revenue</w:t>
            </w:r>
          </w:p>
        </w:tc>
        <w:tc>
          <w:tcPr>
            <w:tcW w:w="2394" w:type="dxa"/>
          </w:tcPr>
          <w:p w:rsidR="009E33A4" w:rsidRDefault="009E33A4" w:rsidP="009E33A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 billion</w:t>
            </w:r>
          </w:p>
        </w:tc>
        <w:tc>
          <w:tcPr>
            <w:tcW w:w="2394" w:type="dxa"/>
          </w:tcPr>
          <w:p w:rsidR="009E33A4" w:rsidRDefault="009E33A4" w:rsidP="009E33A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1,800</w:t>
            </w:r>
          </w:p>
        </w:tc>
      </w:tr>
      <w:tr w:rsidR="009E33A4" w:rsidTr="009E33A4">
        <w:tc>
          <w:tcPr>
            <w:tcW w:w="738" w:type="dxa"/>
          </w:tcPr>
          <w:p w:rsidR="009E33A4" w:rsidRDefault="009E33A4" w:rsidP="009E33A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50" w:type="dxa"/>
          </w:tcPr>
          <w:p w:rsidR="009E33A4" w:rsidRDefault="009E33A4" w:rsidP="009E33A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Profit before tax </w:t>
            </w:r>
          </w:p>
        </w:tc>
        <w:tc>
          <w:tcPr>
            <w:tcW w:w="2394" w:type="dxa"/>
          </w:tcPr>
          <w:p w:rsidR="009E33A4" w:rsidRDefault="009E33A4" w:rsidP="009E33A4">
            <w:r w:rsidRPr="00750075">
              <w:rPr>
                <w:rFonts w:ascii="Arial" w:hAnsi="Arial" w:cs="Arial"/>
                <w:sz w:val="20"/>
                <w:szCs w:val="20"/>
              </w:rPr>
              <w:t>VND billion</w:t>
            </w:r>
          </w:p>
        </w:tc>
        <w:tc>
          <w:tcPr>
            <w:tcW w:w="2394" w:type="dxa"/>
          </w:tcPr>
          <w:p w:rsidR="009E33A4" w:rsidRDefault="009E33A4" w:rsidP="009E33A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9E33A4" w:rsidTr="009E33A4">
        <w:tc>
          <w:tcPr>
            <w:tcW w:w="738" w:type="dxa"/>
          </w:tcPr>
          <w:p w:rsidR="009E33A4" w:rsidRDefault="009E33A4" w:rsidP="009E33A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50" w:type="dxa"/>
          </w:tcPr>
          <w:p w:rsidR="009E33A4" w:rsidRDefault="009E33A4" w:rsidP="009E33A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Profit after tax </w:t>
            </w:r>
          </w:p>
        </w:tc>
        <w:tc>
          <w:tcPr>
            <w:tcW w:w="2394" w:type="dxa"/>
          </w:tcPr>
          <w:p w:rsidR="009E33A4" w:rsidRDefault="009E33A4" w:rsidP="009E33A4">
            <w:r w:rsidRPr="00750075">
              <w:rPr>
                <w:rFonts w:ascii="Arial" w:hAnsi="Arial" w:cs="Arial"/>
                <w:sz w:val="20"/>
                <w:szCs w:val="20"/>
              </w:rPr>
              <w:t>VND billion</w:t>
            </w:r>
          </w:p>
        </w:tc>
        <w:tc>
          <w:tcPr>
            <w:tcW w:w="2394" w:type="dxa"/>
          </w:tcPr>
          <w:p w:rsidR="009E33A4" w:rsidRDefault="009E33A4" w:rsidP="009E33A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9E33A4" w:rsidTr="009E33A4">
        <w:tc>
          <w:tcPr>
            <w:tcW w:w="738" w:type="dxa"/>
          </w:tcPr>
          <w:p w:rsidR="009E33A4" w:rsidRDefault="009E33A4" w:rsidP="009E33A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50" w:type="dxa"/>
          </w:tcPr>
          <w:p w:rsidR="009E33A4" w:rsidRDefault="009E33A4" w:rsidP="009E33A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Dividend payment (expected)</w:t>
            </w:r>
          </w:p>
        </w:tc>
        <w:tc>
          <w:tcPr>
            <w:tcW w:w="2394" w:type="dxa"/>
          </w:tcPr>
          <w:p w:rsidR="009E33A4" w:rsidRPr="00750075" w:rsidRDefault="009E33A4" w:rsidP="009E33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:rsidR="009E33A4" w:rsidRDefault="009E33A4" w:rsidP="009E33A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 - 15%</w:t>
            </w:r>
          </w:p>
        </w:tc>
      </w:tr>
    </w:tbl>
    <w:p w:rsidR="009E33A4" w:rsidRDefault="009E33A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E33A4" w:rsidRDefault="007749C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3: Approve the report on examining the operational and financial situation of 2019 of the Supervisory Board </w:t>
      </w:r>
    </w:p>
    <w:p w:rsidR="007749CE" w:rsidRDefault="007749CE" w:rsidP="007749C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annual General Meeting of Shareholders approved the report on examining the operational and financial situation of 2019 of the Supervisory Board </w:t>
      </w:r>
    </w:p>
    <w:p w:rsidR="007749CE" w:rsidRDefault="007749C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4: Approve the audited general financial statement and consolidated financial statement of 2019</w:t>
      </w:r>
    </w:p>
    <w:p w:rsidR="007749CE" w:rsidRDefault="007749C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annual General Meeting of Shareholders approved the general financial statement and consolidated financial statement of 2019 of </w:t>
      </w:r>
      <w:proofErr w:type="spellStart"/>
      <w:r w:rsidR="007B03E2">
        <w:rPr>
          <w:rFonts w:ascii="Arial" w:hAnsi="Arial" w:cs="Arial"/>
          <w:sz w:val="20"/>
          <w:szCs w:val="20"/>
        </w:rPr>
        <w:t>Phong</w:t>
      </w:r>
      <w:proofErr w:type="spellEnd"/>
      <w:r w:rsidR="007B03E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03E2">
        <w:rPr>
          <w:rFonts w:ascii="Arial" w:hAnsi="Arial" w:cs="Arial"/>
          <w:sz w:val="20"/>
          <w:szCs w:val="20"/>
        </w:rPr>
        <w:t>Phu</w:t>
      </w:r>
      <w:proofErr w:type="spellEnd"/>
      <w:r w:rsidR="007B03E2">
        <w:rPr>
          <w:rFonts w:ascii="Arial" w:hAnsi="Arial" w:cs="Arial"/>
          <w:sz w:val="20"/>
          <w:szCs w:val="20"/>
        </w:rPr>
        <w:t xml:space="preserve"> Corporation </w:t>
      </w:r>
      <w:r>
        <w:rPr>
          <w:rFonts w:ascii="Arial" w:hAnsi="Arial" w:cs="Arial"/>
          <w:sz w:val="20"/>
          <w:szCs w:val="20"/>
        </w:rPr>
        <w:t xml:space="preserve">audited by </w:t>
      </w:r>
      <w:r w:rsidR="007B03E2">
        <w:rPr>
          <w:rFonts w:ascii="Arial" w:hAnsi="Arial" w:cs="Arial"/>
          <w:sz w:val="20"/>
          <w:szCs w:val="20"/>
        </w:rPr>
        <w:t>A&amp;C Auditing and Consulting Co., Ltd</w:t>
      </w:r>
    </w:p>
    <w:p w:rsidR="007B03E2" w:rsidRDefault="007B03E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5: Approve the plan on profit distribution and dividend payment for 2019</w:t>
      </w:r>
    </w:p>
    <w:p w:rsidR="007B03E2" w:rsidRDefault="007B03E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annual General Meeting of Shareholders approved the plan on profit distribution and dividend payment for 2019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5220"/>
        <w:gridCol w:w="1170"/>
        <w:gridCol w:w="2628"/>
      </w:tblGrid>
      <w:tr w:rsidR="007B03E2" w:rsidTr="0067431A">
        <w:tc>
          <w:tcPr>
            <w:tcW w:w="558" w:type="dxa"/>
          </w:tcPr>
          <w:p w:rsidR="007B03E2" w:rsidRDefault="007B03E2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220" w:type="dxa"/>
          </w:tcPr>
          <w:p w:rsidR="007B03E2" w:rsidRDefault="007B03E2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Item</w:t>
            </w:r>
          </w:p>
        </w:tc>
        <w:tc>
          <w:tcPr>
            <w:tcW w:w="1170" w:type="dxa"/>
          </w:tcPr>
          <w:p w:rsidR="007B03E2" w:rsidRDefault="007B03E2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</w:t>
            </w:r>
          </w:p>
        </w:tc>
        <w:tc>
          <w:tcPr>
            <w:tcW w:w="2628" w:type="dxa"/>
          </w:tcPr>
          <w:p w:rsidR="007B03E2" w:rsidRDefault="007B03E2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</w:t>
            </w:r>
          </w:p>
        </w:tc>
      </w:tr>
      <w:tr w:rsidR="007B03E2" w:rsidTr="0067431A">
        <w:tc>
          <w:tcPr>
            <w:tcW w:w="558" w:type="dxa"/>
          </w:tcPr>
          <w:p w:rsidR="007B03E2" w:rsidRDefault="00CD5DBB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20" w:type="dxa"/>
          </w:tcPr>
          <w:p w:rsidR="007B03E2" w:rsidRDefault="00CD5DBB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DBB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ndistributed profit after tax in</w:t>
            </w:r>
            <w:r w:rsidRPr="00CD5DBB">
              <w:rPr>
                <w:rFonts w:ascii="Arial" w:hAnsi="Arial" w:cs="Arial"/>
                <w:sz w:val="20"/>
                <w:szCs w:val="20"/>
              </w:rPr>
              <w:t xml:space="preserve"> the c</w:t>
            </w:r>
            <w:r>
              <w:rPr>
                <w:rFonts w:ascii="Arial" w:hAnsi="Arial" w:cs="Arial"/>
                <w:sz w:val="20"/>
                <w:szCs w:val="20"/>
              </w:rPr>
              <w:t>onsolidated financial statement</w:t>
            </w:r>
            <w:r w:rsidR="0067431A">
              <w:rPr>
                <w:rFonts w:ascii="Arial" w:hAnsi="Arial" w:cs="Arial"/>
                <w:sz w:val="20"/>
                <w:szCs w:val="20"/>
              </w:rPr>
              <w:t xml:space="preserve"> of 2019</w:t>
            </w:r>
          </w:p>
        </w:tc>
        <w:tc>
          <w:tcPr>
            <w:tcW w:w="1170" w:type="dxa"/>
          </w:tcPr>
          <w:p w:rsidR="007B03E2" w:rsidRDefault="00CD5DBB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2628" w:type="dxa"/>
          </w:tcPr>
          <w:p w:rsidR="007B03E2" w:rsidRDefault="00CD5DBB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DBB">
              <w:rPr>
                <w:rFonts w:ascii="Arial" w:hAnsi="Arial" w:cs="Arial"/>
                <w:sz w:val="20"/>
                <w:szCs w:val="20"/>
              </w:rPr>
              <w:t>404,766,823,758</w:t>
            </w:r>
          </w:p>
        </w:tc>
      </w:tr>
      <w:tr w:rsidR="00CD5DBB" w:rsidTr="0067431A">
        <w:tc>
          <w:tcPr>
            <w:tcW w:w="558" w:type="dxa"/>
          </w:tcPr>
          <w:p w:rsidR="00CD5DBB" w:rsidRDefault="00CD5DBB" w:rsidP="00CD5DB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20" w:type="dxa"/>
          </w:tcPr>
          <w:p w:rsidR="00CD5DBB" w:rsidRDefault="00CD5DBB" w:rsidP="00CD5DB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DBB">
              <w:rPr>
                <w:rFonts w:ascii="Arial" w:hAnsi="Arial" w:cs="Arial"/>
                <w:sz w:val="20"/>
                <w:szCs w:val="20"/>
              </w:rPr>
              <w:t>Profit used for distribution</w:t>
            </w:r>
          </w:p>
        </w:tc>
        <w:tc>
          <w:tcPr>
            <w:tcW w:w="1170" w:type="dxa"/>
          </w:tcPr>
          <w:p w:rsidR="00CD5DBB" w:rsidRDefault="00CD5DBB" w:rsidP="00CD5DBB">
            <w:r w:rsidRPr="000505C0"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2628" w:type="dxa"/>
          </w:tcPr>
          <w:p w:rsidR="00CD5DBB" w:rsidRDefault="00CD5DBB" w:rsidP="00CD5DB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DBB">
              <w:rPr>
                <w:rFonts w:ascii="Arial" w:hAnsi="Arial" w:cs="Arial"/>
                <w:sz w:val="20"/>
                <w:szCs w:val="20"/>
              </w:rPr>
              <w:t>250,464,100,937</w:t>
            </w:r>
          </w:p>
        </w:tc>
      </w:tr>
      <w:tr w:rsidR="00CD5DBB" w:rsidTr="0067431A">
        <w:tc>
          <w:tcPr>
            <w:tcW w:w="558" w:type="dxa"/>
          </w:tcPr>
          <w:p w:rsidR="00CD5DBB" w:rsidRDefault="00CD5DBB" w:rsidP="00CD5DB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20" w:type="dxa"/>
          </w:tcPr>
          <w:p w:rsidR="00CD5DBB" w:rsidRDefault="00CD5DBB" w:rsidP="00CD5DB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DBB">
              <w:rPr>
                <w:rFonts w:ascii="Arial" w:hAnsi="Arial" w:cs="Arial"/>
                <w:sz w:val="20"/>
                <w:szCs w:val="20"/>
              </w:rPr>
              <w:t>Deductions</w:t>
            </w:r>
          </w:p>
        </w:tc>
        <w:tc>
          <w:tcPr>
            <w:tcW w:w="1170" w:type="dxa"/>
          </w:tcPr>
          <w:p w:rsidR="00CD5DBB" w:rsidRDefault="00CD5DBB" w:rsidP="00CD5DBB">
            <w:r w:rsidRPr="000505C0"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2628" w:type="dxa"/>
          </w:tcPr>
          <w:p w:rsidR="00CD5DBB" w:rsidRDefault="00CD5DBB" w:rsidP="00CD5DB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DBB">
              <w:rPr>
                <w:rFonts w:ascii="Arial" w:hAnsi="Arial" w:cs="Arial"/>
                <w:sz w:val="20"/>
                <w:szCs w:val="20"/>
              </w:rPr>
              <w:t>426,666,668</w:t>
            </w:r>
          </w:p>
        </w:tc>
      </w:tr>
      <w:tr w:rsidR="00CD5DBB" w:rsidTr="0067431A">
        <w:tc>
          <w:tcPr>
            <w:tcW w:w="558" w:type="dxa"/>
          </w:tcPr>
          <w:p w:rsidR="00CD5DBB" w:rsidRDefault="00CD5DBB" w:rsidP="00CD5DB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20" w:type="dxa"/>
          </w:tcPr>
          <w:p w:rsidR="00CD5DBB" w:rsidRDefault="00CD5DBB" w:rsidP="00CD5DB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DBB">
              <w:rPr>
                <w:rFonts w:ascii="Arial" w:hAnsi="Arial" w:cs="Arial"/>
                <w:sz w:val="20"/>
                <w:szCs w:val="20"/>
              </w:rPr>
              <w:t>Expected profit distribution</w:t>
            </w:r>
          </w:p>
        </w:tc>
        <w:tc>
          <w:tcPr>
            <w:tcW w:w="1170" w:type="dxa"/>
          </w:tcPr>
          <w:p w:rsidR="00CD5DBB" w:rsidRDefault="00CD5DBB" w:rsidP="00CD5DBB">
            <w:r w:rsidRPr="000505C0"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2628" w:type="dxa"/>
          </w:tcPr>
          <w:p w:rsidR="00CD5DBB" w:rsidRDefault="00CD5DBB" w:rsidP="00CD5DB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DBB">
              <w:rPr>
                <w:rFonts w:ascii="Arial" w:hAnsi="Arial" w:cs="Arial"/>
                <w:sz w:val="20"/>
                <w:szCs w:val="20"/>
              </w:rPr>
              <w:t>250,037,434,269</w:t>
            </w:r>
          </w:p>
        </w:tc>
      </w:tr>
      <w:tr w:rsidR="00A52FFA" w:rsidTr="0067431A">
        <w:tc>
          <w:tcPr>
            <w:tcW w:w="558" w:type="dxa"/>
          </w:tcPr>
          <w:p w:rsidR="00A52FFA" w:rsidRDefault="00A52FFA" w:rsidP="00A52F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220" w:type="dxa"/>
          </w:tcPr>
          <w:p w:rsidR="00A52FFA" w:rsidRPr="00CD5DBB" w:rsidRDefault="00A52FFA" w:rsidP="00A52F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DBB">
              <w:rPr>
                <w:rFonts w:ascii="Arial" w:hAnsi="Arial" w:cs="Arial"/>
                <w:sz w:val="20"/>
                <w:szCs w:val="20"/>
              </w:rPr>
              <w:t>Dividend di</w:t>
            </w:r>
            <w:r w:rsidR="0067431A">
              <w:rPr>
                <w:rFonts w:ascii="Arial" w:hAnsi="Arial" w:cs="Arial"/>
                <w:sz w:val="20"/>
                <w:szCs w:val="20"/>
              </w:rPr>
              <w:t>stribution to shareholders (22%/par value of share</w:t>
            </w:r>
            <w:r w:rsidRPr="00CD5DB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70" w:type="dxa"/>
          </w:tcPr>
          <w:p w:rsidR="00A52FFA" w:rsidRDefault="00A52FFA" w:rsidP="00A52FFA">
            <w:r w:rsidRPr="000505C0"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2628" w:type="dxa"/>
          </w:tcPr>
          <w:p w:rsidR="00A52FFA" w:rsidRPr="00CD5DBB" w:rsidRDefault="00A52FFA" w:rsidP="00A52F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DBB">
              <w:rPr>
                <w:rFonts w:ascii="Arial" w:hAnsi="Arial" w:cs="Arial"/>
                <w:sz w:val="20"/>
                <w:szCs w:val="20"/>
              </w:rPr>
              <w:t>164,275,960,200</w:t>
            </w:r>
          </w:p>
        </w:tc>
      </w:tr>
      <w:tr w:rsidR="00A52FFA" w:rsidTr="0067431A">
        <w:tc>
          <w:tcPr>
            <w:tcW w:w="558" w:type="dxa"/>
          </w:tcPr>
          <w:p w:rsidR="00A52FFA" w:rsidRDefault="00A52FFA" w:rsidP="00A52F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220" w:type="dxa"/>
          </w:tcPr>
          <w:p w:rsidR="00A52FFA" w:rsidRPr="00CD5DBB" w:rsidRDefault="0067431A" w:rsidP="0060496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Reward to </w:t>
            </w:r>
            <w:r w:rsidR="00A52FFA" w:rsidRPr="00CD5DBB">
              <w:rPr>
                <w:rFonts w:ascii="Arial" w:hAnsi="Arial" w:cs="Arial"/>
                <w:sz w:val="20"/>
                <w:szCs w:val="20"/>
              </w:rPr>
              <w:t>the Board of Dire</w:t>
            </w:r>
            <w:r>
              <w:rPr>
                <w:rFonts w:ascii="Arial" w:hAnsi="Arial" w:cs="Arial"/>
                <w:sz w:val="20"/>
                <w:szCs w:val="20"/>
              </w:rPr>
              <w:t>ctors and the Supervisory Board,</w:t>
            </w:r>
            <w:r w:rsidR="00A52FFA" w:rsidRPr="00CD5DBB">
              <w:rPr>
                <w:rFonts w:ascii="Arial" w:hAnsi="Arial" w:cs="Arial"/>
                <w:sz w:val="20"/>
                <w:szCs w:val="20"/>
              </w:rPr>
              <w:t xml:space="preserve"> Executive Board and diplomatic </w:t>
            </w:r>
            <w:r w:rsidR="00C923FD">
              <w:rPr>
                <w:rFonts w:ascii="Arial" w:hAnsi="Arial" w:cs="Arial"/>
                <w:sz w:val="20"/>
                <w:szCs w:val="20"/>
              </w:rPr>
              <w:t>expense (3% of profit</w:t>
            </w:r>
            <w:r w:rsidR="00A52FFA" w:rsidRPr="00CD5DB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70" w:type="dxa"/>
          </w:tcPr>
          <w:p w:rsidR="00A52FFA" w:rsidRDefault="00A52FFA" w:rsidP="00A52FFA">
            <w:r w:rsidRPr="000505C0"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2628" w:type="dxa"/>
          </w:tcPr>
          <w:p w:rsidR="00A52FFA" w:rsidRPr="00CD5DBB" w:rsidRDefault="005356A8" w:rsidP="00A52F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7,501</w:t>
            </w:r>
            <w:r w:rsidR="00A52FFA" w:rsidRPr="00CD5DBB">
              <w:rPr>
                <w:rFonts w:ascii="Arial" w:hAnsi="Arial" w:cs="Arial"/>
                <w:sz w:val="20"/>
                <w:szCs w:val="20"/>
              </w:rPr>
              <w:t>,123,000</w:t>
            </w:r>
          </w:p>
        </w:tc>
      </w:tr>
      <w:tr w:rsidR="00A52FFA" w:rsidTr="0067431A">
        <w:tc>
          <w:tcPr>
            <w:tcW w:w="558" w:type="dxa"/>
          </w:tcPr>
          <w:p w:rsidR="00A52FFA" w:rsidRDefault="00A52FFA" w:rsidP="00A52F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 </w:t>
            </w:r>
          </w:p>
        </w:tc>
        <w:tc>
          <w:tcPr>
            <w:tcW w:w="5220" w:type="dxa"/>
          </w:tcPr>
          <w:p w:rsidR="00A52FFA" w:rsidRPr="00CD5DBB" w:rsidRDefault="002614A7" w:rsidP="002614A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Extraction to b</w:t>
            </w:r>
            <w:r w:rsidR="00A52FFA" w:rsidRPr="00CD5DBB">
              <w:rPr>
                <w:rFonts w:ascii="Arial" w:hAnsi="Arial" w:cs="Arial"/>
                <w:sz w:val="20"/>
                <w:szCs w:val="20"/>
              </w:rPr>
              <w:t xml:space="preserve">onus </w:t>
            </w:r>
            <w:r w:rsidR="00C923FD">
              <w:rPr>
                <w:rFonts w:ascii="Arial" w:hAnsi="Arial" w:cs="Arial"/>
                <w:sz w:val="20"/>
                <w:szCs w:val="20"/>
              </w:rPr>
              <w:t>due to</w:t>
            </w:r>
            <w:r w:rsidR="00A52FFA" w:rsidRPr="00CD5DBB">
              <w:rPr>
                <w:rFonts w:ascii="Arial" w:hAnsi="Arial" w:cs="Arial"/>
                <w:sz w:val="20"/>
                <w:szCs w:val="20"/>
              </w:rPr>
              <w:t xml:space="preserve"> exceeding plan (10% of excess profit)</w:t>
            </w:r>
          </w:p>
        </w:tc>
        <w:tc>
          <w:tcPr>
            <w:tcW w:w="1170" w:type="dxa"/>
          </w:tcPr>
          <w:p w:rsidR="00A52FFA" w:rsidRDefault="00A52FFA" w:rsidP="00A52FFA">
            <w:r w:rsidRPr="000505C0"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2628" w:type="dxa"/>
          </w:tcPr>
          <w:p w:rsidR="00A52FFA" w:rsidRPr="00CD5DBB" w:rsidRDefault="00A52FFA" w:rsidP="00A52F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52FFA" w:rsidTr="0067431A">
        <w:tc>
          <w:tcPr>
            <w:tcW w:w="558" w:type="dxa"/>
          </w:tcPr>
          <w:p w:rsidR="00A52FFA" w:rsidRDefault="00A52FFA" w:rsidP="00A52F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5220" w:type="dxa"/>
          </w:tcPr>
          <w:p w:rsidR="00A52FFA" w:rsidRPr="00CD5DBB" w:rsidRDefault="002614A7" w:rsidP="0060496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Extraction to</w:t>
            </w:r>
            <w:r w:rsidR="00A52FFA" w:rsidRPr="00CD5DBB">
              <w:rPr>
                <w:rFonts w:ascii="Arial" w:hAnsi="Arial" w:cs="Arial"/>
                <w:sz w:val="20"/>
                <w:szCs w:val="20"/>
              </w:rPr>
              <w:t xml:space="preserve"> developm</w:t>
            </w:r>
            <w:r>
              <w:rPr>
                <w:rFonts w:ascii="Arial" w:hAnsi="Arial" w:cs="Arial"/>
                <w:sz w:val="20"/>
                <w:szCs w:val="20"/>
              </w:rPr>
              <w:t>ent investment fund (15% of profit</w:t>
            </w:r>
            <w:r w:rsidR="00A52FFA" w:rsidRPr="00CD5DB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70" w:type="dxa"/>
          </w:tcPr>
          <w:p w:rsidR="00A52FFA" w:rsidRDefault="00A52FFA" w:rsidP="00A52FFA">
            <w:r w:rsidRPr="000505C0"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2628" w:type="dxa"/>
          </w:tcPr>
          <w:p w:rsidR="00A52FFA" w:rsidRPr="00CD5DBB" w:rsidRDefault="00A52FFA" w:rsidP="00A52F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DBB">
              <w:rPr>
                <w:rFonts w:ascii="Arial" w:hAnsi="Arial" w:cs="Arial"/>
                <w:sz w:val="20"/>
                <w:szCs w:val="20"/>
              </w:rPr>
              <w:t>37,505,615,000</w:t>
            </w:r>
          </w:p>
        </w:tc>
      </w:tr>
      <w:tr w:rsidR="00A52FFA" w:rsidTr="0067431A">
        <w:tc>
          <w:tcPr>
            <w:tcW w:w="558" w:type="dxa"/>
          </w:tcPr>
          <w:p w:rsidR="00A52FFA" w:rsidRDefault="00A52FFA" w:rsidP="00A52F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</w:t>
            </w:r>
          </w:p>
        </w:tc>
        <w:tc>
          <w:tcPr>
            <w:tcW w:w="5220" w:type="dxa"/>
          </w:tcPr>
          <w:p w:rsidR="00A52FFA" w:rsidRPr="00CD5DBB" w:rsidRDefault="002614A7" w:rsidP="002614A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Extraction to</w:t>
            </w:r>
            <w:r w:rsidR="00A52FFA" w:rsidRPr="00CD5DBB">
              <w:rPr>
                <w:rFonts w:ascii="Arial" w:hAnsi="Arial" w:cs="Arial"/>
                <w:sz w:val="20"/>
                <w:szCs w:val="20"/>
              </w:rPr>
              <w:t xml:space="preserve"> bonus and welfare fund (10.5% of </w:t>
            </w:r>
            <w:r w:rsidR="00604969">
              <w:rPr>
                <w:rFonts w:ascii="Arial" w:hAnsi="Arial" w:cs="Arial"/>
                <w:sz w:val="20"/>
                <w:szCs w:val="20"/>
              </w:rPr>
              <w:t>profit</w:t>
            </w:r>
            <w:r w:rsidR="00A52FFA" w:rsidRPr="00CD5DB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70" w:type="dxa"/>
          </w:tcPr>
          <w:p w:rsidR="00A52FFA" w:rsidRDefault="00A52FFA" w:rsidP="00A52FFA">
            <w:r w:rsidRPr="000505C0"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2628" w:type="dxa"/>
          </w:tcPr>
          <w:p w:rsidR="00A52FFA" w:rsidRPr="00CD5DBB" w:rsidRDefault="00A52FFA" w:rsidP="00A52F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DBB">
              <w:rPr>
                <w:rFonts w:ascii="Arial" w:hAnsi="Arial" w:cs="Arial"/>
                <w:sz w:val="20"/>
                <w:szCs w:val="20"/>
              </w:rPr>
              <w:t>26,253,931,000</w:t>
            </w:r>
          </w:p>
        </w:tc>
      </w:tr>
      <w:tr w:rsidR="00A52FFA" w:rsidTr="0067431A">
        <w:tc>
          <w:tcPr>
            <w:tcW w:w="558" w:type="dxa"/>
          </w:tcPr>
          <w:p w:rsidR="00A52FFA" w:rsidRDefault="00A52FFA" w:rsidP="00A52F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20" w:type="dxa"/>
          </w:tcPr>
          <w:p w:rsidR="00A52FFA" w:rsidRPr="00CD5DBB" w:rsidRDefault="00A52FFA" w:rsidP="00A52F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Remaining profit</w:t>
            </w:r>
          </w:p>
        </w:tc>
        <w:tc>
          <w:tcPr>
            <w:tcW w:w="1170" w:type="dxa"/>
          </w:tcPr>
          <w:p w:rsidR="00A52FFA" w:rsidRDefault="00A52FFA" w:rsidP="00A52FFA">
            <w:r w:rsidRPr="000505C0"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2628" w:type="dxa"/>
          </w:tcPr>
          <w:p w:rsidR="00A52FFA" w:rsidRPr="00CD5DBB" w:rsidRDefault="00A52FFA" w:rsidP="00A52F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DBB">
              <w:rPr>
                <w:rFonts w:ascii="Arial" w:hAnsi="Arial" w:cs="Arial"/>
                <w:sz w:val="20"/>
                <w:szCs w:val="20"/>
              </w:rPr>
              <w:t>14,500,805,069</w:t>
            </w:r>
          </w:p>
        </w:tc>
      </w:tr>
    </w:tbl>
    <w:p w:rsidR="007B03E2" w:rsidRDefault="007B03E2" w:rsidP="00A52FF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417AA" w:rsidRDefault="00604969" w:rsidP="00A52FF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604969">
        <w:rPr>
          <w:rFonts w:ascii="Arial" w:hAnsi="Arial" w:cs="Arial"/>
          <w:sz w:val="20"/>
          <w:szCs w:val="20"/>
        </w:rPr>
        <w:t>Divi</w:t>
      </w:r>
      <w:r w:rsidR="001417AA">
        <w:rPr>
          <w:rFonts w:ascii="Arial" w:hAnsi="Arial" w:cs="Arial"/>
          <w:sz w:val="20"/>
          <w:szCs w:val="20"/>
        </w:rPr>
        <w:t>dend payment ratio in 2019: 22%/par value</w:t>
      </w:r>
    </w:p>
    <w:p w:rsidR="001417AA" w:rsidRDefault="001417AA" w:rsidP="00A52FF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Profit used to pay dividend</w:t>
      </w:r>
      <w:r w:rsidR="00604969" w:rsidRPr="00604969">
        <w:rPr>
          <w:rFonts w:ascii="Arial" w:hAnsi="Arial" w:cs="Arial"/>
          <w:sz w:val="20"/>
          <w:szCs w:val="20"/>
        </w:rPr>
        <w:t xml:space="preserve"> are based on undistributed </w:t>
      </w:r>
      <w:r>
        <w:rPr>
          <w:rFonts w:ascii="Arial" w:hAnsi="Arial" w:cs="Arial"/>
          <w:sz w:val="20"/>
          <w:szCs w:val="20"/>
        </w:rPr>
        <w:t>profit after tax in the</w:t>
      </w:r>
      <w:r w:rsidR="00604969" w:rsidRPr="00604969">
        <w:rPr>
          <w:rFonts w:ascii="Arial" w:hAnsi="Arial" w:cs="Arial"/>
          <w:sz w:val="20"/>
          <w:szCs w:val="20"/>
        </w:rPr>
        <w:t xml:space="preserve"> audited c</w:t>
      </w:r>
      <w:r>
        <w:rPr>
          <w:rFonts w:ascii="Arial" w:hAnsi="Arial" w:cs="Arial"/>
          <w:sz w:val="20"/>
          <w:szCs w:val="20"/>
        </w:rPr>
        <w:t>onsolidated financial statement of 2019</w:t>
      </w:r>
    </w:p>
    <w:p w:rsidR="008E6D3B" w:rsidRDefault="001417AA" w:rsidP="00A52FF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The above extractions</w:t>
      </w:r>
      <w:r w:rsidR="00604969" w:rsidRPr="00604969">
        <w:rPr>
          <w:rFonts w:ascii="Arial" w:hAnsi="Arial" w:cs="Arial"/>
          <w:sz w:val="20"/>
          <w:szCs w:val="20"/>
        </w:rPr>
        <w:t xml:space="preserve"> may vary depending on the 2019 tax</w:t>
      </w:r>
      <w:r w:rsidR="009034CD">
        <w:rPr>
          <w:rFonts w:ascii="Arial" w:hAnsi="Arial" w:cs="Arial"/>
          <w:sz w:val="20"/>
          <w:szCs w:val="20"/>
        </w:rPr>
        <w:t xml:space="preserve"> finalization result,</w:t>
      </w:r>
      <w:r w:rsidR="00604969" w:rsidRPr="00604969">
        <w:rPr>
          <w:rFonts w:ascii="Arial" w:hAnsi="Arial" w:cs="Arial"/>
          <w:sz w:val="20"/>
          <w:szCs w:val="20"/>
        </w:rPr>
        <w:t xml:space="preserve"> affect</w:t>
      </w:r>
      <w:r w:rsidR="009034CD">
        <w:rPr>
          <w:rFonts w:ascii="Arial" w:hAnsi="Arial" w:cs="Arial"/>
          <w:sz w:val="20"/>
          <w:szCs w:val="20"/>
        </w:rPr>
        <w:t>ing</w:t>
      </w:r>
      <w:r w:rsidR="00604969" w:rsidRPr="00604969">
        <w:rPr>
          <w:rFonts w:ascii="Arial" w:hAnsi="Arial" w:cs="Arial"/>
          <w:sz w:val="20"/>
          <w:szCs w:val="20"/>
        </w:rPr>
        <w:t xml:space="preserve"> the remaining profit for distribution. </w:t>
      </w:r>
      <w:r w:rsidR="009034CD">
        <w:rPr>
          <w:rFonts w:ascii="Arial" w:hAnsi="Arial" w:cs="Arial"/>
          <w:sz w:val="20"/>
          <w:szCs w:val="20"/>
        </w:rPr>
        <w:t>In 2019, the Corporation completed tax finalization of 2017 and</w:t>
      </w:r>
      <w:r w:rsidR="00604969" w:rsidRPr="00604969">
        <w:rPr>
          <w:rFonts w:ascii="Arial" w:hAnsi="Arial" w:cs="Arial"/>
          <w:sz w:val="20"/>
          <w:szCs w:val="20"/>
        </w:rPr>
        <w:t xml:space="preserve"> 2018 with Ho Chi Minh City Department. The adjustment number according to the settlement r</w:t>
      </w:r>
      <w:r w:rsidR="008E6D3B">
        <w:rPr>
          <w:rFonts w:ascii="Arial" w:hAnsi="Arial" w:cs="Arial"/>
          <w:sz w:val="20"/>
          <w:szCs w:val="20"/>
        </w:rPr>
        <w:t>ecord was VND 1,360,476,385.</w:t>
      </w:r>
      <w:r w:rsidR="00604969" w:rsidRPr="00604969">
        <w:rPr>
          <w:rFonts w:ascii="Arial" w:hAnsi="Arial" w:cs="Arial"/>
          <w:sz w:val="20"/>
          <w:szCs w:val="20"/>
        </w:rPr>
        <w:t xml:space="preserve"> The above amount </w:t>
      </w:r>
      <w:r w:rsidR="008E6D3B">
        <w:rPr>
          <w:rFonts w:ascii="Arial" w:hAnsi="Arial" w:cs="Arial"/>
          <w:sz w:val="20"/>
          <w:szCs w:val="20"/>
        </w:rPr>
        <w:t>was</w:t>
      </w:r>
      <w:r w:rsidR="00604969" w:rsidRPr="00604969">
        <w:rPr>
          <w:rFonts w:ascii="Arial" w:hAnsi="Arial" w:cs="Arial"/>
          <w:sz w:val="20"/>
          <w:szCs w:val="20"/>
        </w:rPr>
        <w:t xml:space="preserve"> adjusted to reduce the</w:t>
      </w:r>
      <w:r w:rsidR="008E6D3B">
        <w:rPr>
          <w:rFonts w:ascii="Arial" w:hAnsi="Arial" w:cs="Arial"/>
          <w:sz w:val="20"/>
          <w:szCs w:val="20"/>
        </w:rPr>
        <w:t xml:space="preserve"> remaining undistributed profit of previous years</w:t>
      </w:r>
    </w:p>
    <w:p w:rsidR="00C93230" w:rsidRDefault="008E6D3B" w:rsidP="00A52FF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604969" w:rsidRPr="00604969">
        <w:rPr>
          <w:rFonts w:ascii="Arial" w:hAnsi="Arial" w:cs="Arial"/>
          <w:sz w:val="20"/>
          <w:szCs w:val="20"/>
        </w:rPr>
        <w:t>Personal i</w:t>
      </w:r>
      <w:r>
        <w:rPr>
          <w:rFonts w:ascii="Arial" w:hAnsi="Arial" w:cs="Arial"/>
          <w:sz w:val="20"/>
          <w:szCs w:val="20"/>
        </w:rPr>
        <w:t>ncome tax arising from dividend</w:t>
      </w:r>
      <w:r w:rsidR="00604969" w:rsidRPr="00604969">
        <w:rPr>
          <w:rFonts w:ascii="Arial" w:hAnsi="Arial" w:cs="Arial"/>
          <w:sz w:val="20"/>
          <w:szCs w:val="20"/>
        </w:rPr>
        <w:t xml:space="preserve"> will be deducted whe</w:t>
      </w:r>
      <w:r w:rsidR="00C93230">
        <w:rPr>
          <w:rFonts w:ascii="Arial" w:hAnsi="Arial" w:cs="Arial"/>
          <w:sz w:val="20"/>
          <w:szCs w:val="20"/>
        </w:rPr>
        <w:t>n shareholders receive dividend in 2019 as prescribed</w:t>
      </w:r>
    </w:p>
    <w:p w:rsidR="00C93230" w:rsidRDefault="00604969" w:rsidP="00A52FF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04969">
        <w:rPr>
          <w:rFonts w:ascii="Arial" w:hAnsi="Arial" w:cs="Arial"/>
          <w:sz w:val="20"/>
          <w:szCs w:val="20"/>
        </w:rPr>
        <w:t>Article</w:t>
      </w:r>
      <w:r w:rsidR="00C93230">
        <w:rPr>
          <w:rFonts w:ascii="Arial" w:hAnsi="Arial" w:cs="Arial"/>
          <w:sz w:val="20"/>
          <w:szCs w:val="20"/>
        </w:rPr>
        <w:t xml:space="preserve"> 6: </w:t>
      </w:r>
      <w:r w:rsidRPr="00604969">
        <w:rPr>
          <w:rFonts w:ascii="Arial" w:hAnsi="Arial" w:cs="Arial"/>
          <w:sz w:val="20"/>
          <w:szCs w:val="20"/>
        </w:rPr>
        <w:t xml:space="preserve">Selection of the </w:t>
      </w:r>
      <w:r w:rsidR="00C93230">
        <w:rPr>
          <w:rFonts w:ascii="Arial" w:hAnsi="Arial" w:cs="Arial"/>
          <w:sz w:val="20"/>
          <w:szCs w:val="20"/>
        </w:rPr>
        <w:t>a</w:t>
      </w:r>
      <w:r w:rsidRPr="00604969">
        <w:rPr>
          <w:rFonts w:ascii="Arial" w:hAnsi="Arial" w:cs="Arial"/>
          <w:sz w:val="20"/>
          <w:szCs w:val="20"/>
        </w:rPr>
        <w:t>udit unit of the Co</w:t>
      </w:r>
      <w:r w:rsidR="00C93230">
        <w:rPr>
          <w:rFonts w:ascii="Arial" w:hAnsi="Arial" w:cs="Arial"/>
          <w:sz w:val="20"/>
          <w:szCs w:val="20"/>
        </w:rPr>
        <w:t>rporation's financial statement</w:t>
      </w:r>
      <w:r w:rsidRPr="00604969">
        <w:rPr>
          <w:rFonts w:ascii="Arial" w:hAnsi="Arial" w:cs="Arial"/>
          <w:sz w:val="20"/>
          <w:szCs w:val="20"/>
        </w:rPr>
        <w:t xml:space="preserve"> in 2020 </w:t>
      </w:r>
    </w:p>
    <w:p w:rsidR="00C93230" w:rsidRDefault="00604969" w:rsidP="00A52FF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04969">
        <w:rPr>
          <w:rFonts w:ascii="Arial" w:hAnsi="Arial" w:cs="Arial"/>
          <w:sz w:val="20"/>
          <w:szCs w:val="20"/>
        </w:rPr>
        <w:t xml:space="preserve">The </w:t>
      </w:r>
      <w:r w:rsidR="00C93230">
        <w:rPr>
          <w:rFonts w:ascii="Arial" w:hAnsi="Arial" w:cs="Arial"/>
          <w:sz w:val="20"/>
          <w:szCs w:val="20"/>
        </w:rPr>
        <w:t>annual General Meeting of Shareholders</w:t>
      </w:r>
      <w:r w:rsidRPr="00604969">
        <w:rPr>
          <w:rFonts w:ascii="Arial" w:hAnsi="Arial" w:cs="Arial"/>
          <w:sz w:val="20"/>
          <w:szCs w:val="20"/>
        </w:rPr>
        <w:t xml:space="preserve"> approve</w:t>
      </w:r>
      <w:r w:rsidR="00C93230">
        <w:rPr>
          <w:rFonts w:ascii="Arial" w:hAnsi="Arial" w:cs="Arial"/>
          <w:sz w:val="20"/>
          <w:szCs w:val="20"/>
        </w:rPr>
        <w:t>d</w:t>
      </w:r>
      <w:r w:rsidRPr="00604969">
        <w:rPr>
          <w:rFonts w:ascii="Arial" w:hAnsi="Arial" w:cs="Arial"/>
          <w:sz w:val="20"/>
          <w:szCs w:val="20"/>
        </w:rPr>
        <w:t xml:space="preserve"> the list of auditing companies and authorizes the Board of Directors to select one of th</w:t>
      </w:r>
      <w:r w:rsidR="00C93230">
        <w:rPr>
          <w:rFonts w:ascii="Arial" w:hAnsi="Arial" w:cs="Arial"/>
          <w:sz w:val="20"/>
          <w:szCs w:val="20"/>
        </w:rPr>
        <w:t xml:space="preserve">e following auditing companies to audit </w:t>
      </w:r>
      <w:r w:rsidRPr="00604969">
        <w:rPr>
          <w:rFonts w:ascii="Arial" w:hAnsi="Arial" w:cs="Arial"/>
          <w:sz w:val="20"/>
          <w:szCs w:val="20"/>
        </w:rPr>
        <w:t>the Cor</w:t>
      </w:r>
      <w:r w:rsidR="00C93230">
        <w:rPr>
          <w:rFonts w:ascii="Arial" w:hAnsi="Arial" w:cs="Arial"/>
          <w:sz w:val="20"/>
          <w:szCs w:val="20"/>
        </w:rPr>
        <w:t>poration's financial statement</w:t>
      </w:r>
      <w:r w:rsidRPr="00604969">
        <w:rPr>
          <w:rFonts w:ascii="Arial" w:hAnsi="Arial" w:cs="Arial"/>
          <w:sz w:val="20"/>
          <w:szCs w:val="20"/>
        </w:rPr>
        <w:t xml:space="preserve"> in 2020: </w:t>
      </w:r>
    </w:p>
    <w:p w:rsidR="00C93230" w:rsidRDefault="00C93230" w:rsidP="00A52FF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Deloitte Vietnam Co., Ltd</w:t>
      </w:r>
    </w:p>
    <w:p w:rsidR="00C93230" w:rsidRDefault="00C93230" w:rsidP="00A52FF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KPMG Vietnam Company Limited</w:t>
      </w:r>
    </w:p>
    <w:p w:rsidR="00C93230" w:rsidRDefault="00C93230" w:rsidP="00A52FF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604969" w:rsidRPr="00604969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>uditing and Consulting Co., Ltd (A&amp;C)</w:t>
      </w:r>
    </w:p>
    <w:p w:rsidR="00C20CF1" w:rsidRDefault="00C93230" w:rsidP="00A52FF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604969" w:rsidRPr="00604969">
        <w:rPr>
          <w:rFonts w:ascii="Arial" w:hAnsi="Arial" w:cs="Arial"/>
          <w:sz w:val="20"/>
          <w:szCs w:val="20"/>
        </w:rPr>
        <w:t xml:space="preserve"> Auditing an</w:t>
      </w:r>
      <w:r w:rsidR="00C20CF1">
        <w:rPr>
          <w:rFonts w:ascii="Arial" w:hAnsi="Arial" w:cs="Arial"/>
          <w:sz w:val="20"/>
          <w:szCs w:val="20"/>
        </w:rPr>
        <w:t>d Informatics Services Co., Ltd (AISC)</w:t>
      </w:r>
    </w:p>
    <w:p w:rsidR="00C20CF1" w:rsidRDefault="00604969" w:rsidP="00A52FF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04969">
        <w:rPr>
          <w:rFonts w:ascii="Arial" w:hAnsi="Arial" w:cs="Arial"/>
          <w:sz w:val="20"/>
          <w:szCs w:val="20"/>
        </w:rPr>
        <w:t>Article 7</w:t>
      </w:r>
      <w:r w:rsidR="00C20CF1">
        <w:rPr>
          <w:rFonts w:ascii="Arial" w:hAnsi="Arial" w:cs="Arial"/>
          <w:sz w:val="20"/>
          <w:szCs w:val="20"/>
        </w:rPr>
        <w:t>:</w:t>
      </w:r>
      <w:r w:rsidRPr="00604969">
        <w:rPr>
          <w:rFonts w:ascii="Arial" w:hAnsi="Arial" w:cs="Arial"/>
          <w:sz w:val="20"/>
          <w:szCs w:val="20"/>
        </w:rPr>
        <w:t xml:space="preserve"> Remuneration and bonus for the Board of Directors, </w:t>
      </w:r>
      <w:r w:rsidR="00C20CF1">
        <w:rPr>
          <w:rFonts w:ascii="Arial" w:hAnsi="Arial" w:cs="Arial"/>
          <w:sz w:val="20"/>
          <w:szCs w:val="20"/>
        </w:rPr>
        <w:t>Supervisory Board</w:t>
      </w:r>
      <w:r w:rsidRPr="00604969">
        <w:rPr>
          <w:rFonts w:ascii="Arial" w:hAnsi="Arial" w:cs="Arial"/>
          <w:sz w:val="20"/>
          <w:szCs w:val="20"/>
        </w:rPr>
        <w:t xml:space="preserve">, Executive Board and diplomatic expenses in 2019 and expected for 2020 </w:t>
      </w:r>
    </w:p>
    <w:p w:rsidR="00604969" w:rsidRDefault="00604969" w:rsidP="00A52FF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04969">
        <w:rPr>
          <w:rFonts w:ascii="Arial" w:hAnsi="Arial" w:cs="Arial"/>
          <w:sz w:val="20"/>
          <w:szCs w:val="20"/>
        </w:rPr>
        <w:t xml:space="preserve">The </w:t>
      </w:r>
      <w:r w:rsidR="00C20CF1">
        <w:rPr>
          <w:rFonts w:ascii="Arial" w:hAnsi="Arial" w:cs="Arial"/>
          <w:sz w:val="20"/>
          <w:szCs w:val="20"/>
        </w:rPr>
        <w:t>annual General Meeting of Shareholders approved</w:t>
      </w:r>
      <w:r w:rsidRPr="00604969">
        <w:rPr>
          <w:rFonts w:ascii="Arial" w:hAnsi="Arial" w:cs="Arial"/>
          <w:sz w:val="20"/>
          <w:szCs w:val="20"/>
        </w:rPr>
        <w:t xml:space="preserve"> the remuneration and bonuses for the Board of Directors, </w:t>
      </w:r>
      <w:r w:rsidR="00C20CF1">
        <w:rPr>
          <w:rFonts w:ascii="Arial" w:hAnsi="Arial" w:cs="Arial"/>
          <w:sz w:val="20"/>
          <w:szCs w:val="20"/>
        </w:rPr>
        <w:t>Supervisory Board</w:t>
      </w:r>
      <w:r w:rsidRPr="00604969">
        <w:rPr>
          <w:rFonts w:ascii="Arial" w:hAnsi="Arial" w:cs="Arial"/>
          <w:sz w:val="20"/>
          <w:szCs w:val="20"/>
        </w:rPr>
        <w:t>, executive board and diplomatic e</w:t>
      </w:r>
      <w:r w:rsidR="00C20CF1">
        <w:rPr>
          <w:rFonts w:ascii="Arial" w:hAnsi="Arial" w:cs="Arial"/>
          <w:sz w:val="20"/>
          <w:szCs w:val="20"/>
        </w:rPr>
        <w:t>xpenses in 2019 and</w:t>
      </w:r>
      <w:r w:rsidRPr="00604969">
        <w:rPr>
          <w:rFonts w:ascii="Arial" w:hAnsi="Arial" w:cs="Arial"/>
          <w:sz w:val="20"/>
          <w:szCs w:val="20"/>
        </w:rPr>
        <w:t xml:space="preserve"> </w:t>
      </w:r>
      <w:r w:rsidR="00C20CF1">
        <w:rPr>
          <w:rFonts w:ascii="Arial" w:hAnsi="Arial" w:cs="Arial"/>
          <w:sz w:val="20"/>
          <w:szCs w:val="20"/>
        </w:rPr>
        <w:t xml:space="preserve">plan for </w:t>
      </w:r>
      <w:r w:rsidRPr="00604969">
        <w:rPr>
          <w:rFonts w:ascii="Arial" w:hAnsi="Arial" w:cs="Arial"/>
          <w:sz w:val="20"/>
          <w:szCs w:val="20"/>
        </w:rPr>
        <w:t>2020</w:t>
      </w:r>
    </w:p>
    <w:p w:rsidR="00C20CF1" w:rsidRDefault="00C20CF1" w:rsidP="00A52FF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2019:</w:t>
      </w:r>
    </w:p>
    <w:p w:rsidR="00CC24D4" w:rsidRDefault="00C20CF1" w:rsidP="00A52FF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C20CF1">
        <w:rPr>
          <w:rFonts w:ascii="Arial" w:hAnsi="Arial" w:cs="Arial"/>
          <w:sz w:val="20"/>
          <w:szCs w:val="20"/>
        </w:rPr>
        <w:t>The total remuneration for the Board of Direct</w:t>
      </w:r>
      <w:r>
        <w:rPr>
          <w:rFonts w:ascii="Arial" w:hAnsi="Arial" w:cs="Arial"/>
          <w:sz w:val="20"/>
          <w:szCs w:val="20"/>
        </w:rPr>
        <w:t>ors and the Supervisory Board: VND 66,000,000/</w:t>
      </w:r>
      <w:r w:rsidRPr="00C20CF1">
        <w:rPr>
          <w:rFonts w:ascii="Arial" w:hAnsi="Arial" w:cs="Arial"/>
          <w:sz w:val="20"/>
          <w:szCs w:val="20"/>
        </w:rPr>
        <w:t>month (income after tax)</w:t>
      </w:r>
    </w:p>
    <w:p w:rsidR="00CC24D4" w:rsidRDefault="00CC24D4" w:rsidP="00A52FF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- </w:t>
      </w:r>
      <w:r w:rsidR="00C20CF1" w:rsidRPr="00C20CF1">
        <w:rPr>
          <w:rFonts w:ascii="Arial" w:hAnsi="Arial" w:cs="Arial"/>
          <w:sz w:val="20"/>
          <w:szCs w:val="20"/>
        </w:rPr>
        <w:t>The reward level for the Board of Directors, Supervisory Board, Executive Board and diplomatic ex</w:t>
      </w:r>
      <w:r>
        <w:rPr>
          <w:rFonts w:ascii="Arial" w:hAnsi="Arial" w:cs="Arial"/>
          <w:sz w:val="20"/>
          <w:szCs w:val="20"/>
        </w:rPr>
        <w:t>penses: 3% of profit after tax</w:t>
      </w:r>
    </w:p>
    <w:p w:rsidR="00CC24D4" w:rsidRDefault="00C20CF1" w:rsidP="00A52FF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0CF1">
        <w:rPr>
          <w:rFonts w:ascii="Arial" w:hAnsi="Arial" w:cs="Arial"/>
          <w:sz w:val="20"/>
          <w:szCs w:val="20"/>
        </w:rPr>
        <w:t xml:space="preserve">Plan for 2020: </w:t>
      </w:r>
    </w:p>
    <w:p w:rsidR="00CC24D4" w:rsidRDefault="00CC24D4" w:rsidP="00A52FF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C20CF1" w:rsidRPr="00C20CF1">
        <w:rPr>
          <w:rFonts w:ascii="Arial" w:hAnsi="Arial" w:cs="Arial"/>
          <w:sz w:val="20"/>
          <w:szCs w:val="20"/>
        </w:rPr>
        <w:t xml:space="preserve">The total remuneration of the Board of Directors and the Supervisory Board </w:t>
      </w:r>
      <w:r>
        <w:rPr>
          <w:rFonts w:ascii="Arial" w:hAnsi="Arial" w:cs="Arial"/>
          <w:sz w:val="20"/>
          <w:szCs w:val="20"/>
        </w:rPr>
        <w:t>is the same as in 2019</w:t>
      </w:r>
    </w:p>
    <w:p w:rsidR="00B4074F" w:rsidRDefault="00CC24D4" w:rsidP="00A52FF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C20CF1" w:rsidRPr="00C20CF1">
        <w:rPr>
          <w:rFonts w:ascii="Arial" w:hAnsi="Arial" w:cs="Arial"/>
          <w:sz w:val="20"/>
          <w:szCs w:val="20"/>
        </w:rPr>
        <w:t xml:space="preserve"> The reward for the Board of Directors, the Supervisory Board, the Executive Board and diplomatic expenses is 3% of the after-tax profit and 10% of the after-tax profit exceeding the plan after deductions</w:t>
      </w:r>
    </w:p>
    <w:p w:rsidR="00C20CF1" w:rsidRDefault="00B4074F" w:rsidP="00A52FF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annual General Meeting of Shareholders authorized the Board of Directors to decide the specific distribution plan</w:t>
      </w:r>
    </w:p>
    <w:p w:rsidR="00317D9B" w:rsidRDefault="00317D9B" w:rsidP="00A52FF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8:</w:t>
      </w:r>
      <w:r w:rsidRPr="00317D9B">
        <w:rPr>
          <w:rFonts w:ascii="Arial" w:hAnsi="Arial" w:cs="Arial"/>
          <w:sz w:val="20"/>
          <w:szCs w:val="20"/>
        </w:rPr>
        <w:t xml:space="preserve"> Approving the restructuring of the Corporation's investments and industries: </w:t>
      </w:r>
    </w:p>
    <w:p w:rsidR="00B64F5E" w:rsidRDefault="00317D9B" w:rsidP="00A52FF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7D9B">
        <w:rPr>
          <w:rFonts w:ascii="Arial" w:hAnsi="Arial" w:cs="Arial"/>
          <w:sz w:val="20"/>
          <w:szCs w:val="20"/>
        </w:rPr>
        <w:t xml:space="preserve">Pursuant to the </w:t>
      </w:r>
      <w:r>
        <w:rPr>
          <w:rFonts w:ascii="Arial" w:hAnsi="Arial" w:cs="Arial"/>
          <w:sz w:val="20"/>
          <w:szCs w:val="20"/>
        </w:rPr>
        <w:t>General Mandate 2019 on</w:t>
      </w:r>
      <w:r w:rsidRPr="00317D9B">
        <w:rPr>
          <w:rFonts w:ascii="Arial" w:hAnsi="Arial" w:cs="Arial"/>
          <w:sz w:val="20"/>
          <w:szCs w:val="20"/>
        </w:rPr>
        <w:t xml:space="preserve"> approval of the restructuring of investments in </w:t>
      </w:r>
      <w:r w:rsidR="009330E8">
        <w:rPr>
          <w:rFonts w:ascii="Arial" w:hAnsi="Arial" w:cs="Arial"/>
          <w:sz w:val="20"/>
          <w:szCs w:val="20"/>
        </w:rPr>
        <w:t xml:space="preserve">other </w:t>
      </w:r>
      <w:r w:rsidRPr="00317D9B">
        <w:rPr>
          <w:rFonts w:ascii="Arial" w:hAnsi="Arial" w:cs="Arial"/>
          <w:sz w:val="20"/>
          <w:szCs w:val="20"/>
        </w:rPr>
        <w:t>enterpri</w:t>
      </w:r>
      <w:r w:rsidR="009330E8">
        <w:rPr>
          <w:rFonts w:ascii="Arial" w:hAnsi="Arial" w:cs="Arial"/>
          <w:sz w:val="20"/>
          <w:szCs w:val="20"/>
        </w:rPr>
        <w:t>ses, authorize</w:t>
      </w:r>
      <w:r w:rsidRPr="00317D9B">
        <w:rPr>
          <w:rFonts w:ascii="Arial" w:hAnsi="Arial" w:cs="Arial"/>
          <w:sz w:val="20"/>
          <w:szCs w:val="20"/>
        </w:rPr>
        <w:t xml:space="preserve"> the Board of Directors to find partner</w:t>
      </w:r>
      <w:r w:rsidR="009330E8">
        <w:rPr>
          <w:rFonts w:ascii="Arial" w:hAnsi="Arial" w:cs="Arial"/>
          <w:sz w:val="20"/>
          <w:szCs w:val="20"/>
        </w:rPr>
        <w:t>s for restructuring the capital/ capital divestment</w:t>
      </w:r>
      <w:r w:rsidR="000C4716">
        <w:rPr>
          <w:rFonts w:ascii="Arial" w:hAnsi="Arial" w:cs="Arial"/>
          <w:sz w:val="20"/>
          <w:szCs w:val="20"/>
        </w:rPr>
        <w:t xml:space="preserve"> for </w:t>
      </w:r>
      <w:r w:rsidR="000C4716" w:rsidRPr="00317D9B">
        <w:rPr>
          <w:rFonts w:ascii="Arial" w:hAnsi="Arial" w:cs="Arial"/>
          <w:sz w:val="20"/>
          <w:szCs w:val="20"/>
        </w:rPr>
        <w:t xml:space="preserve">ineffective investments </w:t>
      </w:r>
      <w:r w:rsidRPr="00317D9B">
        <w:rPr>
          <w:rFonts w:ascii="Arial" w:hAnsi="Arial" w:cs="Arial"/>
          <w:sz w:val="20"/>
          <w:szCs w:val="20"/>
        </w:rPr>
        <w:t xml:space="preserve">in accordance with the law according to </w:t>
      </w:r>
      <w:r w:rsidR="000C4716">
        <w:rPr>
          <w:rFonts w:ascii="Arial" w:hAnsi="Arial" w:cs="Arial"/>
          <w:sz w:val="20"/>
          <w:szCs w:val="20"/>
        </w:rPr>
        <w:t>Statement No.02/</w:t>
      </w:r>
      <w:proofErr w:type="spellStart"/>
      <w:r w:rsidRPr="00317D9B">
        <w:rPr>
          <w:rFonts w:ascii="Arial" w:hAnsi="Arial" w:cs="Arial"/>
          <w:sz w:val="20"/>
          <w:szCs w:val="20"/>
        </w:rPr>
        <w:t>TTr</w:t>
      </w:r>
      <w:proofErr w:type="spellEnd"/>
      <w:r w:rsidR="000C4716">
        <w:rPr>
          <w:rFonts w:ascii="Arial" w:hAnsi="Arial" w:cs="Arial"/>
          <w:sz w:val="20"/>
          <w:szCs w:val="20"/>
        </w:rPr>
        <w:t>-HD</w:t>
      </w:r>
      <w:r w:rsidRPr="00317D9B">
        <w:rPr>
          <w:rFonts w:ascii="Arial" w:hAnsi="Arial" w:cs="Arial"/>
          <w:sz w:val="20"/>
          <w:szCs w:val="20"/>
        </w:rPr>
        <w:t>QT dated June 26, 2020 of the Board of Directo</w:t>
      </w:r>
      <w:r w:rsidR="00B64F5E">
        <w:rPr>
          <w:rFonts w:ascii="Arial" w:hAnsi="Arial" w:cs="Arial"/>
          <w:sz w:val="20"/>
          <w:szCs w:val="20"/>
        </w:rPr>
        <w:t>rs</w:t>
      </w:r>
      <w:r w:rsidRPr="00317D9B">
        <w:rPr>
          <w:rFonts w:ascii="Arial" w:hAnsi="Arial" w:cs="Arial"/>
          <w:sz w:val="20"/>
          <w:szCs w:val="20"/>
        </w:rPr>
        <w:t xml:space="preserve"> to concentrate capital on developing the highly efficient core business of the Corporation. The </w:t>
      </w:r>
      <w:r w:rsidR="00B64F5E">
        <w:rPr>
          <w:rFonts w:ascii="Arial" w:hAnsi="Arial" w:cs="Arial"/>
          <w:sz w:val="20"/>
          <w:szCs w:val="20"/>
        </w:rPr>
        <w:t xml:space="preserve">capital </w:t>
      </w:r>
      <w:r w:rsidRPr="00317D9B">
        <w:rPr>
          <w:rFonts w:ascii="Arial" w:hAnsi="Arial" w:cs="Arial"/>
          <w:sz w:val="20"/>
          <w:szCs w:val="20"/>
        </w:rPr>
        <w:t>divestment must ensure the best</w:t>
      </w:r>
      <w:r w:rsidR="00B64F5E">
        <w:rPr>
          <w:rFonts w:ascii="Arial" w:hAnsi="Arial" w:cs="Arial"/>
          <w:sz w:val="20"/>
          <w:szCs w:val="20"/>
        </w:rPr>
        <w:t xml:space="preserve"> efficiency for the Corporation</w:t>
      </w:r>
    </w:p>
    <w:p w:rsidR="00A744A5" w:rsidRDefault="00B64F5E" w:rsidP="00A52FF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9:</w:t>
      </w:r>
      <w:r w:rsidR="00317D9B" w:rsidRPr="00317D9B">
        <w:rPr>
          <w:rFonts w:ascii="Arial" w:hAnsi="Arial" w:cs="Arial"/>
          <w:sz w:val="20"/>
          <w:szCs w:val="20"/>
        </w:rPr>
        <w:t xml:space="preserve"> Approving the dismissal of position of member of the Board of Direc</w:t>
      </w:r>
      <w:r>
        <w:rPr>
          <w:rFonts w:ascii="Arial" w:hAnsi="Arial" w:cs="Arial"/>
          <w:sz w:val="20"/>
          <w:szCs w:val="20"/>
        </w:rPr>
        <w:t xml:space="preserve">tors of the Corporation for Mr. </w:t>
      </w:r>
      <w:r w:rsidR="00317D9B" w:rsidRPr="00317D9B">
        <w:rPr>
          <w:rFonts w:ascii="Arial" w:hAnsi="Arial" w:cs="Arial"/>
          <w:sz w:val="20"/>
          <w:szCs w:val="20"/>
        </w:rPr>
        <w:t>T</w:t>
      </w:r>
      <w:r w:rsidR="00A744A5">
        <w:rPr>
          <w:rFonts w:ascii="Arial" w:hAnsi="Arial" w:cs="Arial"/>
          <w:sz w:val="20"/>
          <w:szCs w:val="20"/>
        </w:rPr>
        <w:t>ran Ngoc Nga from June 26, 2020</w:t>
      </w:r>
    </w:p>
    <w:p w:rsidR="00A744A5" w:rsidRDefault="00A744A5" w:rsidP="00A52FF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10: A</w:t>
      </w:r>
      <w:r w:rsidR="00317D9B" w:rsidRPr="00317D9B">
        <w:rPr>
          <w:rFonts w:ascii="Arial" w:hAnsi="Arial" w:cs="Arial"/>
          <w:sz w:val="20"/>
          <w:szCs w:val="20"/>
        </w:rPr>
        <w:t>pprove the results of election of</w:t>
      </w:r>
      <w:r>
        <w:rPr>
          <w:rFonts w:ascii="Arial" w:hAnsi="Arial" w:cs="Arial"/>
          <w:sz w:val="20"/>
          <w:szCs w:val="20"/>
        </w:rPr>
        <w:t xml:space="preserve"> </w:t>
      </w:r>
      <w:r w:rsidRPr="00317D9B">
        <w:rPr>
          <w:rFonts w:ascii="Arial" w:hAnsi="Arial" w:cs="Arial"/>
          <w:sz w:val="20"/>
          <w:szCs w:val="20"/>
        </w:rPr>
        <w:t>additional</w:t>
      </w:r>
      <w:r w:rsidR="00317D9B" w:rsidRPr="00317D9B">
        <w:rPr>
          <w:rFonts w:ascii="Arial" w:hAnsi="Arial" w:cs="Arial"/>
          <w:sz w:val="20"/>
          <w:szCs w:val="20"/>
        </w:rPr>
        <w:t xml:space="preserve"> members of the </w:t>
      </w:r>
      <w:r>
        <w:rPr>
          <w:rFonts w:ascii="Arial" w:hAnsi="Arial" w:cs="Arial"/>
          <w:sz w:val="20"/>
          <w:szCs w:val="20"/>
        </w:rPr>
        <w:t>Board of Directors</w:t>
      </w:r>
      <w:r w:rsidR="00317D9B" w:rsidRPr="00317D9B">
        <w:rPr>
          <w:rFonts w:ascii="Arial" w:hAnsi="Arial" w:cs="Arial"/>
          <w:sz w:val="20"/>
          <w:szCs w:val="20"/>
        </w:rPr>
        <w:t xml:space="preserve"> of the Corporation for the term of 2019-2024 as follows: </w:t>
      </w:r>
    </w:p>
    <w:p w:rsidR="00A744A5" w:rsidRDefault="00317D9B" w:rsidP="00A52FF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7D9B">
        <w:rPr>
          <w:rFonts w:ascii="Arial" w:hAnsi="Arial" w:cs="Arial"/>
          <w:sz w:val="20"/>
          <w:szCs w:val="20"/>
        </w:rPr>
        <w:t xml:space="preserve">1.  Mr. Duong </w:t>
      </w:r>
      <w:proofErr w:type="spellStart"/>
      <w:r w:rsidRPr="00317D9B">
        <w:rPr>
          <w:rFonts w:ascii="Arial" w:hAnsi="Arial" w:cs="Arial"/>
          <w:sz w:val="20"/>
          <w:szCs w:val="20"/>
        </w:rPr>
        <w:t>Khue</w:t>
      </w:r>
      <w:proofErr w:type="spellEnd"/>
      <w:r w:rsidRPr="00317D9B">
        <w:rPr>
          <w:rFonts w:ascii="Arial" w:hAnsi="Arial" w:cs="Arial"/>
          <w:sz w:val="20"/>
          <w:szCs w:val="20"/>
        </w:rPr>
        <w:t xml:space="preserve"> - Member of the Board of Directors </w:t>
      </w:r>
    </w:p>
    <w:p w:rsidR="00A744A5" w:rsidRDefault="00A744A5" w:rsidP="00A52FF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11:</w:t>
      </w:r>
      <w:r w:rsidR="00317D9B" w:rsidRPr="00317D9B">
        <w:rPr>
          <w:rFonts w:ascii="Arial" w:hAnsi="Arial" w:cs="Arial"/>
          <w:sz w:val="20"/>
          <w:szCs w:val="20"/>
        </w:rPr>
        <w:t xml:space="preserve"> Effect of </w:t>
      </w:r>
      <w:r>
        <w:rPr>
          <w:rFonts w:ascii="Arial" w:hAnsi="Arial" w:cs="Arial"/>
          <w:sz w:val="20"/>
          <w:szCs w:val="20"/>
        </w:rPr>
        <w:t xml:space="preserve">the General Mandate </w:t>
      </w:r>
    </w:p>
    <w:p w:rsidR="00AA0A33" w:rsidRDefault="00A744A5" w:rsidP="00A52FF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This General Mandate was</w:t>
      </w:r>
      <w:r w:rsidR="00317D9B" w:rsidRPr="00317D9B">
        <w:rPr>
          <w:rFonts w:ascii="Arial" w:hAnsi="Arial" w:cs="Arial"/>
          <w:sz w:val="20"/>
          <w:szCs w:val="20"/>
        </w:rPr>
        <w:t xml:space="preserve"> approved by the </w:t>
      </w:r>
      <w:r w:rsidR="00CC6C02">
        <w:rPr>
          <w:rFonts w:ascii="Arial" w:hAnsi="Arial" w:cs="Arial"/>
          <w:sz w:val="20"/>
          <w:szCs w:val="20"/>
        </w:rPr>
        <w:t>annual General Meeting of Shareholders</w:t>
      </w:r>
      <w:r w:rsidR="00317D9B" w:rsidRPr="00317D9B">
        <w:rPr>
          <w:rFonts w:ascii="Arial" w:hAnsi="Arial" w:cs="Arial"/>
          <w:sz w:val="20"/>
          <w:szCs w:val="20"/>
        </w:rPr>
        <w:t xml:space="preserve"> in 2020 of </w:t>
      </w:r>
      <w:proofErr w:type="spellStart"/>
      <w:r w:rsidR="00317D9B" w:rsidRPr="00317D9B">
        <w:rPr>
          <w:rFonts w:ascii="Arial" w:hAnsi="Arial" w:cs="Arial"/>
          <w:sz w:val="20"/>
          <w:szCs w:val="20"/>
        </w:rPr>
        <w:t>Phong</w:t>
      </w:r>
      <w:proofErr w:type="spellEnd"/>
      <w:r w:rsidR="00317D9B" w:rsidRPr="00317D9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17D9B" w:rsidRPr="00317D9B">
        <w:rPr>
          <w:rFonts w:ascii="Arial" w:hAnsi="Arial" w:cs="Arial"/>
          <w:sz w:val="20"/>
          <w:szCs w:val="20"/>
        </w:rPr>
        <w:t>Phu</w:t>
      </w:r>
      <w:proofErr w:type="spellEnd"/>
      <w:r w:rsidR="00317D9B" w:rsidRPr="00317D9B">
        <w:rPr>
          <w:rFonts w:ascii="Arial" w:hAnsi="Arial" w:cs="Arial"/>
          <w:sz w:val="20"/>
          <w:szCs w:val="20"/>
        </w:rPr>
        <w:t xml:space="preserve"> Corporation takes effect from </w:t>
      </w:r>
      <w:r w:rsidR="00AA0A33">
        <w:rPr>
          <w:rFonts w:ascii="Arial" w:hAnsi="Arial" w:cs="Arial"/>
          <w:sz w:val="20"/>
          <w:szCs w:val="20"/>
        </w:rPr>
        <w:t>26 Jun 2020</w:t>
      </w:r>
    </w:p>
    <w:p w:rsidR="00AA0A33" w:rsidRDefault="00317D9B" w:rsidP="00A52FF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7D9B">
        <w:rPr>
          <w:rFonts w:ascii="Arial" w:hAnsi="Arial" w:cs="Arial"/>
          <w:sz w:val="20"/>
          <w:szCs w:val="20"/>
        </w:rPr>
        <w:t xml:space="preserve">- The Board of Directors is responsible for announcing the </w:t>
      </w:r>
      <w:r w:rsidR="00AA0A33">
        <w:rPr>
          <w:rFonts w:ascii="Arial" w:hAnsi="Arial" w:cs="Arial"/>
          <w:sz w:val="20"/>
          <w:szCs w:val="20"/>
        </w:rPr>
        <w:t>annual General Mandate</w:t>
      </w:r>
      <w:r w:rsidRPr="00317D9B">
        <w:rPr>
          <w:rFonts w:ascii="Arial" w:hAnsi="Arial" w:cs="Arial"/>
          <w:sz w:val="20"/>
          <w:szCs w:val="20"/>
        </w:rPr>
        <w:t xml:space="preserve"> on the Corporation's website in accordance with the law and the </w:t>
      </w:r>
      <w:r w:rsidR="00AA0A33">
        <w:rPr>
          <w:rFonts w:ascii="Arial" w:hAnsi="Arial" w:cs="Arial"/>
          <w:sz w:val="20"/>
          <w:szCs w:val="20"/>
        </w:rPr>
        <w:t>Charter of the Corporation</w:t>
      </w:r>
    </w:p>
    <w:p w:rsidR="00AA0A33" w:rsidRDefault="00317D9B" w:rsidP="00A52FF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7D9B">
        <w:rPr>
          <w:rFonts w:ascii="Arial" w:hAnsi="Arial" w:cs="Arial"/>
          <w:sz w:val="20"/>
          <w:szCs w:val="20"/>
        </w:rPr>
        <w:t>Article 12</w:t>
      </w:r>
      <w:r w:rsidR="00AA0A33">
        <w:rPr>
          <w:rFonts w:ascii="Arial" w:hAnsi="Arial" w:cs="Arial"/>
          <w:sz w:val="20"/>
          <w:szCs w:val="20"/>
        </w:rPr>
        <w:t>:</w:t>
      </w:r>
      <w:r w:rsidRPr="00317D9B">
        <w:rPr>
          <w:rFonts w:ascii="Arial" w:hAnsi="Arial" w:cs="Arial"/>
          <w:sz w:val="20"/>
          <w:szCs w:val="20"/>
        </w:rPr>
        <w:t xml:space="preserve"> Responsibilities for disseminating and implementing the </w:t>
      </w:r>
      <w:r w:rsidR="00AA0A33">
        <w:rPr>
          <w:rFonts w:ascii="Arial" w:hAnsi="Arial" w:cs="Arial"/>
          <w:sz w:val="20"/>
          <w:szCs w:val="20"/>
        </w:rPr>
        <w:t xml:space="preserve">annual General Meeting of Shareholders </w:t>
      </w:r>
    </w:p>
    <w:p w:rsidR="00E33B40" w:rsidRDefault="00AA0A33" w:rsidP="00A52FF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The annual General Meeting of Shareholders </w:t>
      </w:r>
      <w:r w:rsidR="00317D9B" w:rsidRPr="00317D9B">
        <w:rPr>
          <w:rFonts w:ascii="Arial" w:hAnsi="Arial" w:cs="Arial"/>
          <w:sz w:val="20"/>
          <w:szCs w:val="20"/>
        </w:rPr>
        <w:t xml:space="preserve">assigned to the </w:t>
      </w:r>
      <w:r>
        <w:rPr>
          <w:rFonts w:ascii="Arial" w:hAnsi="Arial" w:cs="Arial"/>
          <w:sz w:val="20"/>
          <w:szCs w:val="20"/>
        </w:rPr>
        <w:t>Board of Directors</w:t>
      </w:r>
      <w:r w:rsidR="00317D9B" w:rsidRPr="00317D9B">
        <w:rPr>
          <w:rFonts w:ascii="Arial" w:hAnsi="Arial" w:cs="Arial"/>
          <w:sz w:val="20"/>
          <w:szCs w:val="20"/>
        </w:rPr>
        <w:t xml:space="preserve">, the </w:t>
      </w:r>
      <w:r>
        <w:rPr>
          <w:rFonts w:ascii="Arial" w:hAnsi="Arial" w:cs="Arial"/>
          <w:sz w:val="20"/>
          <w:szCs w:val="20"/>
        </w:rPr>
        <w:t>Supervisory Board</w:t>
      </w:r>
      <w:r w:rsidR="00317D9B" w:rsidRPr="00317D9B">
        <w:rPr>
          <w:rFonts w:ascii="Arial" w:hAnsi="Arial" w:cs="Arial"/>
          <w:sz w:val="20"/>
          <w:szCs w:val="20"/>
        </w:rPr>
        <w:t xml:space="preserve"> and the Executive Board </w:t>
      </w:r>
      <w:r w:rsidR="00E33B40">
        <w:rPr>
          <w:rFonts w:ascii="Arial" w:hAnsi="Arial" w:cs="Arial"/>
          <w:sz w:val="20"/>
          <w:szCs w:val="20"/>
        </w:rPr>
        <w:t>to be</w:t>
      </w:r>
      <w:r w:rsidR="00317D9B" w:rsidRPr="00317D9B">
        <w:rPr>
          <w:rFonts w:ascii="Arial" w:hAnsi="Arial" w:cs="Arial"/>
          <w:sz w:val="20"/>
          <w:szCs w:val="20"/>
        </w:rPr>
        <w:t xml:space="preserve"> responsible for disseminating, implementing and supervising the process </w:t>
      </w:r>
      <w:r w:rsidR="00E33B40">
        <w:rPr>
          <w:rFonts w:ascii="Arial" w:hAnsi="Arial" w:cs="Arial"/>
          <w:sz w:val="20"/>
          <w:szCs w:val="20"/>
        </w:rPr>
        <w:t>of implementation</w:t>
      </w:r>
    </w:p>
    <w:p w:rsidR="00B4074F" w:rsidRDefault="00317D9B" w:rsidP="00A52FF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7D9B">
        <w:rPr>
          <w:rFonts w:ascii="Arial" w:hAnsi="Arial" w:cs="Arial"/>
          <w:sz w:val="20"/>
          <w:szCs w:val="20"/>
        </w:rPr>
        <w:t xml:space="preserve">- All shareholders of </w:t>
      </w:r>
      <w:proofErr w:type="spellStart"/>
      <w:r w:rsidRPr="00317D9B">
        <w:rPr>
          <w:rFonts w:ascii="Arial" w:hAnsi="Arial" w:cs="Arial"/>
          <w:sz w:val="20"/>
          <w:szCs w:val="20"/>
        </w:rPr>
        <w:t>Phong</w:t>
      </w:r>
      <w:proofErr w:type="spellEnd"/>
      <w:r w:rsidRPr="00317D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7D9B">
        <w:rPr>
          <w:rFonts w:ascii="Arial" w:hAnsi="Arial" w:cs="Arial"/>
          <w:sz w:val="20"/>
          <w:szCs w:val="20"/>
        </w:rPr>
        <w:t>Phu</w:t>
      </w:r>
      <w:proofErr w:type="spellEnd"/>
      <w:r w:rsidRPr="00317D9B">
        <w:rPr>
          <w:rFonts w:ascii="Arial" w:hAnsi="Arial" w:cs="Arial"/>
          <w:sz w:val="20"/>
          <w:szCs w:val="20"/>
        </w:rPr>
        <w:t xml:space="preserve"> Corporation, members of the Board of Directors, the Supervisory Board, the </w:t>
      </w:r>
      <w:r w:rsidR="00E33B40">
        <w:rPr>
          <w:rFonts w:ascii="Arial" w:hAnsi="Arial" w:cs="Arial"/>
          <w:sz w:val="20"/>
          <w:szCs w:val="20"/>
        </w:rPr>
        <w:t>Management Board</w:t>
      </w:r>
      <w:r w:rsidRPr="00317D9B">
        <w:rPr>
          <w:rFonts w:ascii="Arial" w:hAnsi="Arial" w:cs="Arial"/>
          <w:sz w:val="20"/>
          <w:szCs w:val="20"/>
        </w:rPr>
        <w:t xml:space="preserve"> and all employees of the Corporation are responsible for implementing this </w:t>
      </w:r>
      <w:r w:rsidR="005356A8">
        <w:rPr>
          <w:rFonts w:ascii="Arial" w:hAnsi="Arial" w:cs="Arial"/>
          <w:sz w:val="20"/>
          <w:szCs w:val="20"/>
        </w:rPr>
        <w:t>annual General Mandate.</w:t>
      </w:r>
    </w:p>
    <w:sectPr w:rsidR="00B40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E043C"/>
    <w:multiLevelType w:val="hybridMultilevel"/>
    <w:tmpl w:val="94227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0DA1"/>
    <w:rsid w:val="0000274B"/>
    <w:rsid w:val="00007B2E"/>
    <w:rsid w:val="000142E1"/>
    <w:rsid w:val="00022849"/>
    <w:rsid w:val="0002469B"/>
    <w:rsid w:val="000266C2"/>
    <w:rsid w:val="000362BD"/>
    <w:rsid w:val="000365C1"/>
    <w:rsid w:val="00050E3D"/>
    <w:rsid w:val="00054119"/>
    <w:rsid w:val="00054EB3"/>
    <w:rsid w:val="000603A9"/>
    <w:rsid w:val="00066EE1"/>
    <w:rsid w:val="00075754"/>
    <w:rsid w:val="00085D47"/>
    <w:rsid w:val="000935E2"/>
    <w:rsid w:val="000A0B74"/>
    <w:rsid w:val="000A58A2"/>
    <w:rsid w:val="000A6020"/>
    <w:rsid w:val="000B6969"/>
    <w:rsid w:val="000C4127"/>
    <w:rsid w:val="000C4716"/>
    <w:rsid w:val="000D073C"/>
    <w:rsid w:val="000D0CFB"/>
    <w:rsid w:val="000D20D4"/>
    <w:rsid w:val="000D25FC"/>
    <w:rsid w:val="000E4CD5"/>
    <w:rsid w:val="000E518E"/>
    <w:rsid w:val="000E71F4"/>
    <w:rsid w:val="000F76F2"/>
    <w:rsid w:val="0011030B"/>
    <w:rsid w:val="001110AA"/>
    <w:rsid w:val="001115E6"/>
    <w:rsid w:val="00114A0D"/>
    <w:rsid w:val="00114F74"/>
    <w:rsid w:val="001321CF"/>
    <w:rsid w:val="00132C87"/>
    <w:rsid w:val="00132EC5"/>
    <w:rsid w:val="00132FA0"/>
    <w:rsid w:val="00135A2F"/>
    <w:rsid w:val="00136CAF"/>
    <w:rsid w:val="001417AA"/>
    <w:rsid w:val="00146DCF"/>
    <w:rsid w:val="00151208"/>
    <w:rsid w:val="00155048"/>
    <w:rsid w:val="001579A8"/>
    <w:rsid w:val="00161658"/>
    <w:rsid w:val="00161E83"/>
    <w:rsid w:val="0016411D"/>
    <w:rsid w:val="00167E2F"/>
    <w:rsid w:val="00185E8C"/>
    <w:rsid w:val="00191F14"/>
    <w:rsid w:val="001937B4"/>
    <w:rsid w:val="00194B6D"/>
    <w:rsid w:val="001A6CEF"/>
    <w:rsid w:val="001A781C"/>
    <w:rsid w:val="001C7CD2"/>
    <w:rsid w:val="001D3611"/>
    <w:rsid w:val="001D5E4A"/>
    <w:rsid w:val="001E4B88"/>
    <w:rsid w:val="001E707C"/>
    <w:rsid w:val="001F0E1D"/>
    <w:rsid w:val="001F114D"/>
    <w:rsid w:val="001F34A1"/>
    <w:rsid w:val="001F6744"/>
    <w:rsid w:val="001F74DC"/>
    <w:rsid w:val="001F7F19"/>
    <w:rsid w:val="00202525"/>
    <w:rsid w:val="00203661"/>
    <w:rsid w:val="00207AF4"/>
    <w:rsid w:val="00211644"/>
    <w:rsid w:val="00213D9F"/>
    <w:rsid w:val="002164D2"/>
    <w:rsid w:val="00230BF1"/>
    <w:rsid w:val="002319EE"/>
    <w:rsid w:val="00234825"/>
    <w:rsid w:val="0025148F"/>
    <w:rsid w:val="00252CE0"/>
    <w:rsid w:val="00254EA2"/>
    <w:rsid w:val="00257CC1"/>
    <w:rsid w:val="002614A7"/>
    <w:rsid w:val="0026535B"/>
    <w:rsid w:val="002701FB"/>
    <w:rsid w:val="00270242"/>
    <w:rsid w:val="0028284F"/>
    <w:rsid w:val="0029161A"/>
    <w:rsid w:val="00296BF9"/>
    <w:rsid w:val="002A005A"/>
    <w:rsid w:val="002A3D5D"/>
    <w:rsid w:val="002A5A98"/>
    <w:rsid w:val="002B42CC"/>
    <w:rsid w:val="002C36A5"/>
    <w:rsid w:val="002D481A"/>
    <w:rsid w:val="002D4939"/>
    <w:rsid w:val="002D53EE"/>
    <w:rsid w:val="002D73E1"/>
    <w:rsid w:val="002E43D7"/>
    <w:rsid w:val="002E7289"/>
    <w:rsid w:val="002E76E5"/>
    <w:rsid w:val="002E7FD0"/>
    <w:rsid w:val="002F689A"/>
    <w:rsid w:val="002F68A9"/>
    <w:rsid w:val="00304722"/>
    <w:rsid w:val="0030503E"/>
    <w:rsid w:val="0031274D"/>
    <w:rsid w:val="00316F05"/>
    <w:rsid w:val="00317D9B"/>
    <w:rsid w:val="00320096"/>
    <w:rsid w:val="0032185B"/>
    <w:rsid w:val="0032223C"/>
    <w:rsid w:val="003250AD"/>
    <w:rsid w:val="00327CF7"/>
    <w:rsid w:val="0033774A"/>
    <w:rsid w:val="00341204"/>
    <w:rsid w:val="00353428"/>
    <w:rsid w:val="00372FC9"/>
    <w:rsid w:val="0037607E"/>
    <w:rsid w:val="0037783E"/>
    <w:rsid w:val="003841E2"/>
    <w:rsid w:val="00387318"/>
    <w:rsid w:val="003876B4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D5097"/>
    <w:rsid w:val="003E60D6"/>
    <w:rsid w:val="003E73CA"/>
    <w:rsid w:val="003F1AAE"/>
    <w:rsid w:val="003F38AB"/>
    <w:rsid w:val="00403A9C"/>
    <w:rsid w:val="004115D9"/>
    <w:rsid w:val="00411E47"/>
    <w:rsid w:val="00412CC2"/>
    <w:rsid w:val="00420169"/>
    <w:rsid w:val="0042783A"/>
    <w:rsid w:val="0043345C"/>
    <w:rsid w:val="00433E4F"/>
    <w:rsid w:val="00434040"/>
    <w:rsid w:val="00435CE3"/>
    <w:rsid w:val="00442646"/>
    <w:rsid w:val="00442F77"/>
    <w:rsid w:val="004530A7"/>
    <w:rsid w:val="00453C9C"/>
    <w:rsid w:val="00456307"/>
    <w:rsid w:val="00457E26"/>
    <w:rsid w:val="00467BC0"/>
    <w:rsid w:val="0047038B"/>
    <w:rsid w:val="00470844"/>
    <w:rsid w:val="00472B8B"/>
    <w:rsid w:val="00490B2B"/>
    <w:rsid w:val="00491B54"/>
    <w:rsid w:val="00496733"/>
    <w:rsid w:val="0049772B"/>
    <w:rsid w:val="004A0320"/>
    <w:rsid w:val="004A554D"/>
    <w:rsid w:val="004B2BA6"/>
    <w:rsid w:val="004B473F"/>
    <w:rsid w:val="004B4798"/>
    <w:rsid w:val="004C0DD9"/>
    <w:rsid w:val="004C144F"/>
    <w:rsid w:val="004D6F8F"/>
    <w:rsid w:val="004D70F9"/>
    <w:rsid w:val="004E4C16"/>
    <w:rsid w:val="004E5AA4"/>
    <w:rsid w:val="004F3452"/>
    <w:rsid w:val="00503187"/>
    <w:rsid w:val="00503DD6"/>
    <w:rsid w:val="00505065"/>
    <w:rsid w:val="0052379D"/>
    <w:rsid w:val="0053093D"/>
    <w:rsid w:val="00534C35"/>
    <w:rsid w:val="005356A8"/>
    <w:rsid w:val="005420FD"/>
    <w:rsid w:val="0055067A"/>
    <w:rsid w:val="00551A83"/>
    <w:rsid w:val="00554914"/>
    <w:rsid w:val="005610CB"/>
    <w:rsid w:val="00561BD1"/>
    <w:rsid w:val="0057357F"/>
    <w:rsid w:val="00576A91"/>
    <w:rsid w:val="00584222"/>
    <w:rsid w:val="0058434E"/>
    <w:rsid w:val="00584B26"/>
    <w:rsid w:val="00585B82"/>
    <w:rsid w:val="005906FC"/>
    <w:rsid w:val="005913A5"/>
    <w:rsid w:val="00596DB2"/>
    <w:rsid w:val="005970B6"/>
    <w:rsid w:val="005A0BA8"/>
    <w:rsid w:val="005B06D4"/>
    <w:rsid w:val="005B1FDE"/>
    <w:rsid w:val="005B40E5"/>
    <w:rsid w:val="005C57E0"/>
    <w:rsid w:val="005D29FE"/>
    <w:rsid w:val="005D7F9C"/>
    <w:rsid w:val="005E7B32"/>
    <w:rsid w:val="005F7ED5"/>
    <w:rsid w:val="006000D8"/>
    <w:rsid w:val="00604110"/>
    <w:rsid w:val="00604969"/>
    <w:rsid w:val="00630321"/>
    <w:rsid w:val="0063035E"/>
    <w:rsid w:val="0063581B"/>
    <w:rsid w:val="006374A1"/>
    <w:rsid w:val="006468F5"/>
    <w:rsid w:val="00653D82"/>
    <w:rsid w:val="00662E88"/>
    <w:rsid w:val="00664834"/>
    <w:rsid w:val="0067431A"/>
    <w:rsid w:val="00681845"/>
    <w:rsid w:val="006909EF"/>
    <w:rsid w:val="00693353"/>
    <w:rsid w:val="006938BF"/>
    <w:rsid w:val="006948E2"/>
    <w:rsid w:val="00694B5D"/>
    <w:rsid w:val="00695ACD"/>
    <w:rsid w:val="006A727D"/>
    <w:rsid w:val="006A7679"/>
    <w:rsid w:val="006B04E8"/>
    <w:rsid w:val="006B10DB"/>
    <w:rsid w:val="006B36E8"/>
    <w:rsid w:val="006C0410"/>
    <w:rsid w:val="006D01D8"/>
    <w:rsid w:val="006D683C"/>
    <w:rsid w:val="006D7085"/>
    <w:rsid w:val="006E15A6"/>
    <w:rsid w:val="006E23FD"/>
    <w:rsid w:val="006E40BA"/>
    <w:rsid w:val="006E5E99"/>
    <w:rsid w:val="006F7079"/>
    <w:rsid w:val="00702AC7"/>
    <w:rsid w:val="00703A99"/>
    <w:rsid w:val="00710F35"/>
    <w:rsid w:val="007218D0"/>
    <w:rsid w:val="00731635"/>
    <w:rsid w:val="00732DC3"/>
    <w:rsid w:val="007336C9"/>
    <w:rsid w:val="0073373F"/>
    <w:rsid w:val="007355C7"/>
    <w:rsid w:val="00744587"/>
    <w:rsid w:val="00745D9A"/>
    <w:rsid w:val="00747AF7"/>
    <w:rsid w:val="00750F3E"/>
    <w:rsid w:val="00757555"/>
    <w:rsid w:val="00766104"/>
    <w:rsid w:val="00772054"/>
    <w:rsid w:val="0077456B"/>
    <w:rsid w:val="007749CE"/>
    <w:rsid w:val="00781EB4"/>
    <w:rsid w:val="00795480"/>
    <w:rsid w:val="007A072F"/>
    <w:rsid w:val="007A0BAA"/>
    <w:rsid w:val="007A1FCC"/>
    <w:rsid w:val="007B03E2"/>
    <w:rsid w:val="007B07E7"/>
    <w:rsid w:val="007B27CD"/>
    <w:rsid w:val="007B3E94"/>
    <w:rsid w:val="007B558D"/>
    <w:rsid w:val="007B5B0B"/>
    <w:rsid w:val="007B5ED0"/>
    <w:rsid w:val="007B67AF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0662"/>
    <w:rsid w:val="008134FC"/>
    <w:rsid w:val="00824C8E"/>
    <w:rsid w:val="00837771"/>
    <w:rsid w:val="00837A2F"/>
    <w:rsid w:val="008405F2"/>
    <w:rsid w:val="0084142F"/>
    <w:rsid w:val="008428CB"/>
    <w:rsid w:val="0084464A"/>
    <w:rsid w:val="0084485C"/>
    <w:rsid w:val="00844ED5"/>
    <w:rsid w:val="0084679A"/>
    <w:rsid w:val="00846A9E"/>
    <w:rsid w:val="008507EB"/>
    <w:rsid w:val="00850CA2"/>
    <w:rsid w:val="008522D5"/>
    <w:rsid w:val="00853748"/>
    <w:rsid w:val="008544C2"/>
    <w:rsid w:val="00863800"/>
    <w:rsid w:val="008647D9"/>
    <w:rsid w:val="00882307"/>
    <w:rsid w:val="00884B9C"/>
    <w:rsid w:val="00887454"/>
    <w:rsid w:val="008B2D34"/>
    <w:rsid w:val="008C0872"/>
    <w:rsid w:val="008C7A42"/>
    <w:rsid w:val="008E6D3B"/>
    <w:rsid w:val="008F0FDD"/>
    <w:rsid w:val="009034CD"/>
    <w:rsid w:val="009072C1"/>
    <w:rsid w:val="00910D86"/>
    <w:rsid w:val="00912FBD"/>
    <w:rsid w:val="009232CB"/>
    <w:rsid w:val="00923467"/>
    <w:rsid w:val="009327E6"/>
    <w:rsid w:val="009330E8"/>
    <w:rsid w:val="00934FC0"/>
    <w:rsid w:val="00936ABF"/>
    <w:rsid w:val="00937D79"/>
    <w:rsid w:val="009410B8"/>
    <w:rsid w:val="00941B71"/>
    <w:rsid w:val="00945B11"/>
    <w:rsid w:val="009464B8"/>
    <w:rsid w:val="00946E1F"/>
    <w:rsid w:val="00953D9F"/>
    <w:rsid w:val="00954AB6"/>
    <w:rsid w:val="00962777"/>
    <w:rsid w:val="00964DEC"/>
    <w:rsid w:val="00966EA5"/>
    <w:rsid w:val="00980267"/>
    <w:rsid w:val="00981275"/>
    <w:rsid w:val="00981536"/>
    <w:rsid w:val="0098360E"/>
    <w:rsid w:val="00985126"/>
    <w:rsid w:val="0099040A"/>
    <w:rsid w:val="009923DF"/>
    <w:rsid w:val="009A6F47"/>
    <w:rsid w:val="009C28F2"/>
    <w:rsid w:val="009D1351"/>
    <w:rsid w:val="009D2257"/>
    <w:rsid w:val="009E1744"/>
    <w:rsid w:val="009E33A4"/>
    <w:rsid w:val="009E4AC5"/>
    <w:rsid w:val="009F2709"/>
    <w:rsid w:val="009F310E"/>
    <w:rsid w:val="00A050AA"/>
    <w:rsid w:val="00A06443"/>
    <w:rsid w:val="00A06521"/>
    <w:rsid w:val="00A06C81"/>
    <w:rsid w:val="00A128FC"/>
    <w:rsid w:val="00A14EC9"/>
    <w:rsid w:val="00A15326"/>
    <w:rsid w:val="00A23E8D"/>
    <w:rsid w:val="00A34999"/>
    <w:rsid w:val="00A410C2"/>
    <w:rsid w:val="00A4710B"/>
    <w:rsid w:val="00A47614"/>
    <w:rsid w:val="00A52FFA"/>
    <w:rsid w:val="00A61FAF"/>
    <w:rsid w:val="00A63B6C"/>
    <w:rsid w:val="00A70946"/>
    <w:rsid w:val="00A744A5"/>
    <w:rsid w:val="00A87ED0"/>
    <w:rsid w:val="00A92963"/>
    <w:rsid w:val="00AA077E"/>
    <w:rsid w:val="00AA0A33"/>
    <w:rsid w:val="00AA4D2D"/>
    <w:rsid w:val="00AA54AD"/>
    <w:rsid w:val="00AB2C99"/>
    <w:rsid w:val="00AB2EDA"/>
    <w:rsid w:val="00AB32F6"/>
    <w:rsid w:val="00AC1F4A"/>
    <w:rsid w:val="00AC4F64"/>
    <w:rsid w:val="00AC6BEF"/>
    <w:rsid w:val="00AC7E5F"/>
    <w:rsid w:val="00AE3C3F"/>
    <w:rsid w:val="00AE6E83"/>
    <w:rsid w:val="00AF67BE"/>
    <w:rsid w:val="00B04704"/>
    <w:rsid w:val="00B06970"/>
    <w:rsid w:val="00B142AC"/>
    <w:rsid w:val="00B146CD"/>
    <w:rsid w:val="00B21CC3"/>
    <w:rsid w:val="00B30128"/>
    <w:rsid w:val="00B345DE"/>
    <w:rsid w:val="00B35896"/>
    <w:rsid w:val="00B4074F"/>
    <w:rsid w:val="00B41BD9"/>
    <w:rsid w:val="00B43A5A"/>
    <w:rsid w:val="00B441E0"/>
    <w:rsid w:val="00B45BE5"/>
    <w:rsid w:val="00B46C41"/>
    <w:rsid w:val="00B47474"/>
    <w:rsid w:val="00B564D8"/>
    <w:rsid w:val="00B62DF2"/>
    <w:rsid w:val="00B64F5E"/>
    <w:rsid w:val="00B64F6C"/>
    <w:rsid w:val="00B67330"/>
    <w:rsid w:val="00B70948"/>
    <w:rsid w:val="00B70D7E"/>
    <w:rsid w:val="00B7158A"/>
    <w:rsid w:val="00B72E2C"/>
    <w:rsid w:val="00B7408A"/>
    <w:rsid w:val="00B744E0"/>
    <w:rsid w:val="00B823A0"/>
    <w:rsid w:val="00B82B7A"/>
    <w:rsid w:val="00B84F6A"/>
    <w:rsid w:val="00B9630F"/>
    <w:rsid w:val="00BA1F12"/>
    <w:rsid w:val="00BA2434"/>
    <w:rsid w:val="00BA2DBC"/>
    <w:rsid w:val="00BA3FB7"/>
    <w:rsid w:val="00BB1331"/>
    <w:rsid w:val="00BB149F"/>
    <w:rsid w:val="00BB19BD"/>
    <w:rsid w:val="00BB27B4"/>
    <w:rsid w:val="00BB2980"/>
    <w:rsid w:val="00BB773F"/>
    <w:rsid w:val="00BC1309"/>
    <w:rsid w:val="00BD3CCA"/>
    <w:rsid w:val="00BD6969"/>
    <w:rsid w:val="00BE3B72"/>
    <w:rsid w:val="00BF0485"/>
    <w:rsid w:val="00C02706"/>
    <w:rsid w:val="00C11B90"/>
    <w:rsid w:val="00C20CF1"/>
    <w:rsid w:val="00C220E2"/>
    <w:rsid w:val="00C2280B"/>
    <w:rsid w:val="00C26F1A"/>
    <w:rsid w:val="00C32F3A"/>
    <w:rsid w:val="00C33F82"/>
    <w:rsid w:val="00C36031"/>
    <w:rsid w:val="00C363B8"/>
    <w:rsid w:val="00C37415"/>
    <w:rsid w:val="00C40291"/>
    <w:rsid w:val="00C47C93"/>
    <w:rsid w:val="00C57CB9"/>
    <w:rsid w:val="00C61E40"/>
    <w:rsid w:val="00C61EAF"/>
    <w:rsid w:val="00C65917"/>
    <w:rsid w:val="00C8203A"/>
    <w:rsid w:val="00C923FD"/>
    <w:rsid w:val="00C93230"/>
    <w:rsid w:val="00C93F6A"/>
    <w:rsid w:val="00C940B5"/>
    <w:rsid w:val="00C97B83"/>
    <w:rsid w:val="00CA0AB7"/>
    <w:rsid w:val="00CA1BB3"/>
    <w:rsid w:val="00CB5C91"/>
    <w:rsid w:val="00CC24D4"/>
    <w:rsid w:val="00CC39D3"/>
    <w:rsid w:val="00CC5122"/>
    <w:rsid w:val="00CC6C02"/>
    <w:rsid w:val="00CD1C0C"/>
    <w:rsid w:val="00CD22F3"/>
    <w:rsid w:val="00CD5DBB"/>
    <w:rsid w:val="00CD696B"/>
    <w:rsid w:val="00CE40C1"/>
    <w:rsid w:val="00CF1764"/>
    <w:rsid w:val="00CF6D90"/>
    <w:rsid w:val="00CF7CE6"/>
    <w:rsid w:val="00D02E12"/>
    <w:rsid w:val="00D07AEF"/>
    <w:rsid w:val="00D2295D"/>
    <w:rsid w:val="00D322FB"/>
    <w:rsid w:val="00D370AF"/>
    <w:rsid w:val="00D415AC"/>
    <w:rsid w:val="00D42026"/>
    <w:rsid w:val="00D42678"/>
    <w:rsid w:val="00D52C26"/>
    <w:rsid w:val="00D55CBB"/>
    <w:rsid w:val="00D55D74"/>
    <w:rsid w:val="00D570D1"/>
    <w:rsid w:val="00D651E1"/>
    <w:rsid w:val="00D74339"/>
    <w:rsid w:val="00D749F4"/>
    <w:rsid w:val="00D77F89"/>
    <w:rsid w:val="00D821E1"/>
    <w:rsid w:val="00D82848"/>
    <w:rsid w:val="00D8674C"/>
    <w:rsid w:val="00D86BED"/>
    <w:rsid w:val="00D92EFF"/>
    <w:rsid w:val="00D9503E"/>
    <w:rsid w:val="00DA199B"/>
    <w:rsid w:val="00DA3531"/>
    <w:rsid w:val="00DA54D0"/>
    <w:rsid w:val="00DB2C71"/>
    <w:rsid w:val="00DB5EDC"/>
    <w:rsid w:val="00DC65A3"/>
    <w:rsid w:val="00DC74CA"/>
    <w:rsid w:val="00DD1205"/>
    <w:rsid w:val="00DD263A"/>
    <w:rsid w:val="00DE5C3C"/>
    <w:rsid w:val="00DF4180"/>
    <w:rsid w:val="00DF739B"/>
    <w:rsid w:val="00E11F06"/>
    <w:rsid w:val="00E130EE"/>
    <w:rsid w:val="00E13C77"/>
    <w:rsid w:val="00E13F43"/>
    <w:rsid w:val="00E17016"/>
    <w:rsid w:val="00E20A0F"/>
    <w:rsid w:val="00E23141"/>
    <w:rsid w:val="00E24D07"/>
    <w:rsid w:val="00E24F0A"/>
    <w:rsid w:val="00E27923"/>
    <w:rsid w:val="00E313AB"/>
    <w:rsid w:val="00E33B40"/>
    <w:rsid w:val="00E35884"/>
    <w:rsid w:val="00E40729"/>
    <w:rsid w:val="00E43201"/>
    <w:rsid w:val="00E44453"/>
    <w:rsid w:val="00E47B26"/>
    <w:rsid w:val="00E51F4E"/>
    <w:rsid w:val="00E53A5C"/>
    <w:rsid w:val="00E55270"/>
    <w:rsid w:val="00E5565D"/>
    <w:rsid w:val="00E65132"/>
    <w:rsid w:val="00E7691C"/>
    <w:rsid w:val="00E87575"/>
    <w:rsid w:val="00E940FA"/>
    <w:rsid w:val="00E96289"/>
    <w:rsid w:val="00E96D65"/>
    <w:rsid w:val="00EA4C28"/>
    <w:rsid w:val="00EA6EE7"/>
    <w:rsid w:val="00EB09F2"/>
    <w:rsid w:val="00EC2D2D"/>
    <w:rsid w:val="00EC37DE"/>
    <w:rsid w:val="00ED0A7A"/>
    <w:rsid w:val="00ED3B40"/>
    <w:rsid w:val="00ED6D41"/>
    <w:rsid w:val="00EE5769"/>
    <w:rsid w:val="00EF091F"/>
    <w:rsid w:val="00EF47D6"/>
    <w:rsid w:val="00F10595"/>
    <w:rsid w:val="00F13333"/>
    <w:rsid w:val="00F272CE"/>
    <w:rsid w:val="00F301A8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3E13"/>
    <w:rsid w:val="00F85783"/>
    <w:rsid w:val="00F86F51"/>
    <w:rsid w:val="00F86F7A"/>
    <w:rsid w:val="00F903A5"/>
    <w:rsid w:val="00FA0106"/>
    <w:rsid w:val="00FA6F79"/>
    <w:rsid w:val="00FB3CD7"/>
    <w:rsid w:val="00FC153A"/>
    <w:rsid w:val="00FD1EB7"/>
    <w:rsid w:val="00FD3EED"/>
    <w:rsid w:val="00FD4001"/>
    <w:rsid w:val="00FD423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99C34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2400</TotalTime>
  <Pages>5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348</cp:revision>
  <dcterms:created xsi:type="dcterms:W3CDTF">2019-10-16T10:03:00Z</dcterms:created>
  <dcterms:modified xsi:type="dcterms:W3CDTF">2020-07-08T11:19:00Z</dcterms:modified>
</cp:coreProperties>
</file>